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57" w:rsidRDefault="002A4751" w:rsidP="002A47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2F5">
        <w:rPr>
          <w:rFonts w:ascii="Times New Roman" w:hAnsi="Times New Roman" w:cs="Times New Roman"/>
          <w:b/>
          <w:sz w:val="24"/>
          <w:szCs w:val="24"/>
        </w:rPr>
        <w:t>Assessing the Impact of Mindfulness Training on Well-being in the Workplace</w:t>
      </w:r>
    </w:p>
    <w:p w:rsidR="00C43982" w:rsidRDefault="00C43982" w:rsidP="002A47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82" w:rsidRDefault="00C43982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3982">
        <w:rPr>
          <w:rFonts w:ascii="Times New Roman" w:hAnsi="Times New Roman" w:cs="Times New Roman"/>
          <w:sz w:val="24"/>
          <w:szCs w:val="24"/>
        </w:rPr>
        <w:t>Prepared by Laura Perry and Dusana Dorjee, Ph.D.</w:t>
      </w:r>
    </w:p>
    <w:p w:rsidR="00332D2F" w:rsidRDefault="00332D2F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23/12/2013</w:t>
      </w:r>
    </w:p>
    <w:p w:rsidR="00332D2F" w:rsidRPr="00C43982" w:rsidRDefault="00332D2F" w:rsidP="00332D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DC2" w:rsidRDefault="00F43DC2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3D27" w:rsidRDefault="00550E1D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reference:</w:t>
      </w:r>
    </w:p>
    <w:p w:rsidR="00550E1D" w:rsidRDefault="00550E1D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Perry, L. &amp; Dorjee, D. (2013). Assessing the impact of mindfulness training on well-being in the workplace. </w:t>
      </w:r>
      <w:r w:rsidR="003A691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="004A2179" w:rsidRPr="00C27759">
          <w:rPr>
            <w:rStyle w:val="Hyperlink"/>
            <w:rFonts w:ascii="Times New Roman" w:hAnsi="Times New Roman" w:cs="Times New Roman"/>
            <w:sz w:val="24"/>
            <w:szCs w:val="24"/>
          </w:rPr>
          <w:t>http://dorjeelab.net</w:t>
        </w:r>
      </w:hyperlink>
      <w:bookmarkStart w:id="0" w:name="_GoBack"/>
      <w:bookmarkEnd w:id="0"/>
    </w:p>
    <w:p w:rsidR="003A6911" w:rsidRDefault="003A6911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6911" w:rsidRDefault="003A6911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43DC2" w:rsidRDefault="00F43DC2" w:rsidP="002A47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43DC2" w:rsidRDefault="001D3D27" w:rsidP="00EE773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385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project aimed to investigate the impact of mindfulness training on</w:t>
      </w:r>
      <w:r w:rsidR="00714385">
        <w:rPr>
          <w:rFonts w:ascii="Times New Roman" w:hAnsi="Times New Roman" w:cs="Times New Roman"/>
          <w:sz w:val="24"/>
          <w:szCs w:val="24"/>
        </w:rPr>
        <w:t xml:space="preserve"> </w:t>
      </w:r>
      <w:r w:rsidR="00984C4B">
        <w:rPr>
          <w:rFonts w:ascii="Times New Roman" w:hAnsi="Times New Roman" w:cs="Times New Roman"/>
          <w:sz w:val="24"/>
          <w:szCs w:val="24"/>
        </w:rPr>
        <w:t>well-being</w:t>
      </w:r>
      <w:r w:rsidR="00714385">
        <w:rPr>
          <w:rFonts w:ascii="Times New Roman" w:hAnsi="Times New Roman" w:cs="Times New Roman"/>
          <w:sz w:val="24"/>
          <w:szCs w:val="24"/>
        </w:rPr>
        <w:t>, perceived stress</w:t>
      </w:r>
      <w:r w:rsidR="00F9456E">
        <w:rPr>
          <w:rFonts w:ascii="Times New Roman" w:hAnsi="Times New Roman" w:cs="Times New Roman"/>
          <w:sz w:val="24"/>
          <w:szCs w:val="24"/>
        </w:rPr>
        <w:t>,</w:t>
      </w:r>
      <w:r w:rsidR="00714385">
        <w:rPr>
          <w:rFonts w:ascii="Times New Roman" w:hAnsi="Times New Roman" w:cs="Times New Roman"/>
          <w:sz w:val="24"/>
          <w:szCs w:val="24"/>
        </w:rPr>
        <w:t xml:space="preserve"> and quality of life in a small group of North Wales Housing employees.</w:t>
      </w:r>
      <w:r w:rsidR="00C86B07">
        <w:rPr>
          <w:rFonts w:ascii="Times New Roman" w:hAnsi="Times New Roman" w:cs="Times New Roman"/>
          <w:sz w:val="24"/>
          <w:szCs w:val="24"/>
        </w:rPr>
        <w:t xml:space="preserve"> Previous research</w:t>
      </w:r>
      <w:r w:rsidR="00714385">
        <w:rPr>
          <w:rFonts w:ascii="Times New Roman" w:hAnsi="Times New Roman" w:cs="Times New Roman"/>
          <w:sz w:val="24"/>
          <w:szCs w:val="24"/>
        </w:rPr>
        <w:t>, mostly with clinical populations,</w:t>
      </w:r>
      <w:r w:rsidR="00C86B07">
        <w:rPr>
          <w:rFonts w:ascii="Times New Roman" w:hAnsi="Times New Roman" w:cs="Times New Roman"/>
          <w:sz w:val="24"/>
          <w:szCs w:val="24"/>
        </w:rPr>
        <w:t xml:space="preserve"> has indicated</w:t>
      </w:r>
      <w:r w:rsidR="00485EE5">
        <w:rPr>
          <w:rFonts w:ascii="Times New Roman" w:hAnsi="Times New Roman" w:cs="Times New Roman"/>
          <w:sz w:val="24"/>
          <w:szCs w:val="24"/>
        </w:rPr>
        <w:t xml:space="preserve"> that</w:t>
      </w:r>
      <w:r w:rsidR="003E1281">
        <w:rPr>
          <w:rFonts w:ascii="Times New Roman" w:hAnsi="Times New Roman" w:cs="Times New Roman"/>
          <w:sz w:val="24"/>
          <w:szCs w:val="24"/>
        </w:rPr>
        <w:t xml:space="preserve"> </w:t>
      </w:r>
      <w:r w:rsidR="00714385">
        <w:rPr>
          <w:rFonts w:ascii="Times New Roman" w:hAnsi="Times New Roman" w:cs="Times New Roman"/>
          <w:sz w:val="24"/>
          <w:szCs w:val="24"/>
        </w:rPr>
        <w:t>mindfulness practice</w:t>
      </w:r>
      <w:r w:rsidR="003E1281">
        <w:rPr>
          <w:rFonts w:ascii="Times New Roman" w:hAnsi="Times New Roman" w:cs="Times New Roman"/>
          <w:sz w:val="24"/>
          <w:szCs w:val="24"/>
        </w:rPr>
        <w:t xml:space="preserve"> </w:t>
      </w:r>
      <w:r w:rsidR="00C86B07">
        <w:rPr>
          <w:rFonts w:ascii="Times New Roman" w:hAnsi="Times New Roman" w:cs="Times New Roman"/>
          <w:sz w:val="24"/>
          <w:szCs w:val="24"/>
        </w:rPr>
        <w:t xml:space="preserve">is associated with </w:t>
      </w:r>
      <w:r w:rsidR="003E1281">
        <w:rPr>
          <w:rFonts w:ascii="Times New Roman" w:hAnsi="Times New Roman" w:cs="Times New Roman"/>
          <w:sz w:val="24"/>
          <w:szCs w:val="24"/>
        </w:rPr>
        <w:t xml:space="preserve">various positive outcomes </w:t>
      </w:r>
      <w:r w:rsidR="00714385">
        <w:rPr>
          <w:rFonts w:ascii="Times New Roman" w:hAnsi="Times New Roman" w:cs="Times New Roman"/>
          <w:sz w:val="24"/>
          <w:szCs w:val="24"/>
        </w:rPr>
        <w:t>related to</w:t>
      </w:r>
      <w:r w:rsidR="003E1281">
        <w:rPr>
          <w:rFonts w:ascii="Times New Roman" w:hAnsi="Times New Roman" w:cs="Times New Roman"/>
          <w:sz w:val="24"/>
          <w:szCs w:val="24"/>
        </w:rPr>
        <w:t xml:space="preserve"> </w:t>
      </w:r>
      <w:r w:rsidR="00485EE5">
        <w:rPr>
          <w:rFonts w:ascii="Times New Roman" w:hAnsi="Times New Roman" w:cs="Times New Roman"/>
          <w:sz w:val="24"/>
          <w:szCs w:val="24"/>
        </w:rPr>
        <w:t>well-being</w:t>
      </w:r>
      <w:r w:rsidR="001508D8">
        <w:rPr>
          <w:rFonts w:ascii="Times New Roman" w:hAnsi="Times New Roman" w:cs="Times New Roman"/>
          <w:sz w:val="24"/>
          <w:szCs w:val="24"/>
        </w:rPr>
        <w:t xml:space="preserve"> (</w:t>
      </w:r>
      <w:r w:rsidR="00714385">
        <w:rPr>
          <w:rFonts w:ascii="Times New Roman" w:hAnsi="Times New Roman" w:cs="Times New Roman"/>
          <w:sz w:val="24"/>
          <w:szCs w:val="24"/>
        </w:rPr>
        <w:t>e.g., Hofmann et al., 2010</w:t>
      </w:r>
      <w:r w:rsidR="001508D8">
        <w:rPr>
          <w:rFonts w:ascii="Times New Roman" w:hAnsi="Times New Roman" w:cs="Times New Roman"/>
          <w:sz w:val="24"/>
          <w:szCs w:val="24"/>
        </w:rPr>
        <w:t>)</w:t>
      </w:r>
      <w:r w:rsidR="003E1281">
        <w:rPr>
          <w:rFonts w:ascii="Times New Roman" w:hAnsi="Times New Roman" w:cs="Times New Roman"/>
          <w:sz w:val="24"/>
          <w:szCs w:val="24"/>
        </w:rPr>
        <w:t>. It was hypothesised that</w:t>
      </w:r>
      <w:r w:rsidR="00485EE5">
        <w:rPr>
          <w:rFonts w:ascii="Times New Roman" w:hAnsi="Times New Roman" w:cs="Times New Roman"/>
          <w:sz w:val="24"/>
          <w:szCs w:val="24"/>
        </w:rPr>
        <w:t xml:space="preserve"> </w:t>
      </w:r>
      <w:r w:rsidR="00714385">
        <w:rPr>
          <w:rFonts w:ascii="Times New Roman" w:hAnsi="Times New Roman" w:cs="Times New Roman"/>
          <w:sz w:val="24"/>
          <w:szCs w:val="24"/>
        </w:rPr>
        <w:t>similar beneficial effects would be observable in the</w:t>
      </w:r>
      <w:r w:rsidR="00485EE5">
        <w:rPr>
          <w:rFonts w:ascii="Times New Roman" w:hAnsi="Times New Roman" w:cs="Times New Roman"/>
          <w:sz w:val="24"/>
          <w:szCs w:val="24"/>
        </w:rPr>
        <w:t xml:space="preserve"> workplace setting.</w:t>
      </w:r>
      <w:r w:rsidR="0098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C2" w:rsidRDefault="00F43DC2" w:rsidP="00EE773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4751" w:rsidRPr="00714385" w:rsidRDefault="002A4751" w:rsidP="00714385">
      <w:pPr>
        <w:pStyle w:val="NoSpacing"/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85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714385" w:rsidRPr="00714385" w:rsidRDefault="00714385" w:rsidP="00EE773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A4751" w:rsidRPr="00714385" w:rsidRDefault="002A4751" w:rsidP="00EE773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4385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785957" w:rsidRDefault="00714385" w:rsidP="0078595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were employees of</w:t>
      </w:r>
      <w:r w:rsidR="002A4751">
        <w:rPr>
          <w:rFonts w:ascii="Times New Roman" w:hAnsi="Times New Roman" w:cs="Times New Roman"/>
          <w:sz w:val="24"/>
          <w:szCs w:val="24"/>
        </w:rPr>
        <w:t xml:space="preserve"> the</w:t>
      </w:r>
      <w:r w:rsidR="00785957">
        <w:rPr>
          <w:rFonts w:ascii="Times New Roman" w:hAnsi="Times New Roman" w:cs="Times New Roman"/>
          <w:sz w:val="24"/>
          <w:szCs w:val="24"/>
        </w:rPr>
        <w:t xml:space="preserve"> North Wales Housing organisation and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CA7ED2">
        <w:rPr>
          <w:rFonts w:ascii="Times New Roman" w:hAnsi="Times New Roman" w:cs="Times New Roman"/>
          <w:sz w:val="24"/>
          <w:szCs w:val="24"/>
        </w:rPr>
        <w:t>invited to take part in the study</w:t>
      </w:r>
      <w:r w:rsidR="0033519F">
        <w:rPr>
          <w:rFonts w:ascii="Times New Roman" w:hAnsi="Times New Roman" w:cs="Times New Roman"/>
          <w:sz w:val="24"/>
          <w:szCs w:val="24"/>
        </w:rPr>
        <w:t xml:space="preserve"> prior to undertaking a course in Mindfulness-Based Stress Reduction (MBSR)</w:t>
      </w:r>
      <w:r w:rsidR="00CA7ED2">
        <w:rPr>
          <w:rFonts w:ascii="Times New Roman" w:hAnsi="Times New Roman" w:cs="Times New Roman"/>
          <w:sz w:val="24"/>
          <w:szCs w:val="24"/>
        </w:rPr>
        <w:t>.</w:t>
      </w:r>
      <w:r w:rsidR="003F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Informed consent was obtained from each participant before the start of the study.</w:t>
      </w:r>
      <w:r w:rsidR="00CA7ED2">
        <w:rPr>
          <w:rFonts w:ascii="Times New Roman" w:hAnsi="Times New Roman" w:cs="Times New Roman"/>
          <w:sz w:val="24"/>
          <w:szCs w:val="24"/>
        </w:rPr>
        <w:t xml:space="preserve"> Ten participants (9 of whom were women)</w:t>
      </w:r>
      <w:r w:rsidR="008E10F3">
        <w:rPr>
          <w:rFonts w:ascii="Times New Roman" w:hAnsi="Times New Roman" w:cs="Times New Roman"/>
          <w:sz w:val="24"/>
          <w:szCs w:val="24"/>
        </w:rPr>
        <w:t xml:space="preserve"> opted to</w:t>
      </w:r>
      <w:r w:rsidR="001D3D27">
        <w:rPr>
          <w:rFonts w:ascii="Times New Roman" w:hAnsi="Times New Roman" w:cs="Times New Roman"/>
          <w:sz w:val="24"/>
          <w:szCs w:val="24"/>
        </w:rPr>
        <w:t xml:space="preserve"> participate. </w:t>
      </w:r>
      <w:r w:rsidR="002A4751">
        <w:rPr>
          <w:rFonts w:ascii="Times New Roman" w:hAnsi="Times New Roman" w:cs="Times New Roman"/>
          <w:sz w:val="24"/>
          <w:szCs w:val="24"/>
        </w:rPr>
        <w:t xml:space="preserve">Participants were aged between 30 and 59 </w:t>
      </w:r>
      <w:r w:rsidR="00B73757">
        <w:rPr>
          <w:rFonts w:ascii="Times New Roman" w:hAnsi="Times New Roman" w:cs="Times New Roman"/>
          <w:sz w:val="24"/>
          <w:szCs w:val="24"/>
        </w:rPr>
        <w:t>years (</w:t>
      </w:r>
      <w:r w:rsidR="00B73757" w:rsidRPr="00B73757">
        <w:rPr>
          <w:rFonts w:ascii="Times New Roman" w:hAnsi="Times New Roman" w:cs="Times New Roman"/>
          <w:i/>
          <w:sz w:val="24"/>
          <w:szCs w:val="24"/>
        </w:rPr>
        <w:t>M</w:t>
      </w:r>
      <w:r w:rsidR="00B73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757">
        <w:rPr>
          <w:rFonts w:ascii="Times New Roman" w:hAnsi="Times New Roman" w:cs="Times New Roman"/>
          <w:sz w:val="24"/>
          <w:szCs w:val="24"/>
        </w:rPr>
        <w:t xml:space="preserve">= 44.33, </w:t>
      </w:r>
      <w:r w:rsidR="00B73757" w:rsidRPr="00B73757">
        <w:rPr>
          <w:rFonts w:ascii="Times New Roman" w:hAnsi="Times New Roman" w:cs="Times New Roman"/>
          <w:i/>
          <w:sz w:val="24"/>
          <w:szCs w:val="24"/>
        </w:rPr>
        <w:t>SD</w:t>
      </w:r>
      <w:r w:rsidR="00B73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757">
        <w:rPr>
          <w:rFonts w:ascii="Times New Roman" w:hAnsi="Times New Roman" w:cs="Times New Roman"/>
          <w:sz w:val="24"/>
          <w:szCs w:val="24"/>
        </w:rPr>
        <w:t>= 11.67).</w:t>
      </w:r>
      <w:r w:rsidR="00785957" w:rsidRPr="00785957">
        <w:rPr>
          <w:rFonts w:ascii="Times New Roman" w:hAnsi="Times New Roman" w:cs="Times New Roman"/>
          <w:sz w:val="24"/>
          <w:szCs w:val="24"/>
        </w:rPr>
        <w:t xml:space="preserve"> </w:t>
      </w:r>
      <w:r w:rsidR="00785957">
        <w:rPr>
          <w:rFonts w:ascii="Times New Roman" w:hAnsi="Times New Roman" w:cs="Times New Roman"/>
          <w:sz w:val="24"/>
          <w:szCs w:val="24"/>
        </w:rPr>
        <w:t>The study was reviewed and approved by the Ethics Committee in the School of Psychology, Bangor University prior to start of the participant recruitment.</w:t>
      </w:r>
    </w:p>
    <w:p w:rsidR="002A4751" w:rsidRDefault="002A4751" w:rsidP="00EE773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5957" w:rsidRDefault="00785957" w:rsidP="00EE773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A7ED2" w:rsidRPr="00714385" w:rsidRDefault="00714385" w:rsidP="00EE773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4385">
        <w:rPr>
          <w:rFonts w:ascii="Times New Roman" w:hAnsi="Times New Roman" w:cs="Times New Roman"/>
          <w:b/>
          <w:sz w:val="24"/>
          <w:szCs w:val="24"/>
        </w:rPr>
        <w:lastRenderedPageBreak/>
        <w:t>Measures</w:t>
      </w:r>
    </w:p>
    <w:p w:rsidR="00CA7ED2" w:rsidRDefault="00CA7ED2" w:rsidP="00EE773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completed four </w:t>
      </w:r>
      <w:r w:rsidR="00814B7D">
        <w:rPr>
          <w:rFonts w:ascii="Times New Roman" w:hAnsi="Times New Roman" w:cs="Times New Roman"/>
          <w:sz w:val="24"/>
          <w:szCs w:val="24"/>
        </w:rPr>
        <w:t xml:space="preserve">Likert-type scale </w:t>
      </w:r>
      <w:r>
        <w:rPr>
          <w:rFonts w:ascii="Times New Roman" w:hAnsi="Times New Roman" w:cs="Times New Roman"/>
          <w:sz w:val="24"/>
          <w:szCs w:val="24"/>
        </w:rPr>
        <w:t>questionnaires before and after</w:t>
      </w:r>
      <w:r w:rsidR="00CC2D3F">
        <w:rPr>
          <w:rFonts w:ascii="Times New Roman" w:hAnsi="Times New Roman" w:cs="Times New Roman"/>
          <w:sz w:val="24"/>
          <w:szCs w:val="24"/>
        </w:rPr>
        <w:t xml:space="preserve"> </w:t>
      </w:r>
      <w:r w:rsidR="001D3D27">
        <w:rPr>
          <w:rFonts w:ascii="Times New Roman" w:hAnsi="Times New Roman" w:cs="Times New Roman"/>
          <w:sz w:val="24"/>
          <w:szCs w:val="24"/>
        </w:rPr>
        <w:t xml:space="preserve">the </w:t>
      </w:r>
      <w:r w:rsidR="00CC2D3F">
        <w:rPr>
          <w:rFonts w:ascii="Times New Roman" w:hAnsi="Times New Roman" w:cs="Times New Roman"/>
          <w:sz w:val="24"/>
          <w:szCs w:val="24"/>
        </w:rPr>
        <w:t xml:space="preserve">MBSR </w:t>
      </w:r>
      <w:r w:rsidR="001D3D27">
        <w:rPr>
          <w:rFonts w:ascii="Times New Roman" w:hAnsi="Times New Roman" w:cs="Times New Roman"/>
          <w:sz w:val="24"/>
          <w:szCs w:val="24"/>
        </w:rPr>
        <w:t>course</w:t>
      </w:r>
      <w:r w:rsidR="00B57F1F">
        <w:rPr>
          <w:rFonts w:ascii="Times New Roman" w:hAnsi="Times New Roman" w:cs="Times New Roman"/>
          <w:sz w:val="24"/>
          <w:szCs w:val="24"/>
        </w:rPr>
        <w:t>: the</w:t>
      </w:r>
      <w:r w:rsidR="0086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Warwick-Edinburgh M</w:t>
      </w:r>
      <w:r w:rsidR="00B57F1F">
        <w:rPr>
          <w:rFonts w:ascii="Times New Roman" w:hAnsi="Times New Roman" w:cs="Times New Roman"/>
          <w:sz w:val="24"/>
          <w:szCs w:val="24"/>
        </w:rPr>
        <w:t>ental Well-being Scale (WEMWBS),</w:t>
      </w:r>
      <w:r>
        <w:rPr>
          <w:rFonts w:ascii="Times New Roman" w:hAnsi="Times New Roman" w:cs="Times New Roman"/>
          <w:sz w:val="24"/>
          <w:szCs w:val="24"/>
        </w:rPr>
        <w:t xml:space="preserve"> a 14 item scale </w:t>
      </w:r>
      <w:r w:rsidR="007502A1">
        <w:rPr>
          <w:rFonts w:ascii="Times New Roman" w:hAnsi="Times New Roman" w:cs="Times New Roman"/>
          <w:sz w:val="24"/>
          <w:szCs w:val="24"/>
        </w:rPr>
        <w:t xml:space="preserve">assessing positive aspects of mental health </w:t>
      </w:r>
      <w:r w:rsidR="00861A16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AB3CCE">
        <w:rPr>
          <w:rFonts w:ascii="Times New Roman" w:hAnsi="Times New Roman" w:cs="Times New Roman"/>
          <w:sz w:val="24"/>
          <w:szCs w:val="24"/>
        </w:rPr>
        <w:t>in the previous two weeks</w:t>
      </w:r>
      <w:r w:rsidR="00B52F8B">
        <w:rPr>
          <w:rFonts w:ascii="Times New Roman" w:hAnsi="Times New Roman" w:cs="Times New Roman"/>
          <w:sz w:val="24"/>
          <w:szCs w:val="24"/>
        </w:rPr>
        <w:t xml:space="preserve"> (Tennant et al., 2007)</w:t>
      </w:r>
      <w:r w:rsidR="007502A1">
        <w:rPr>
          <w:rFonts w:ascii="Times New Roman" w:hAnsi="Times New Roman" w:cs="Times New Roman"/>
          <w:sz w:val="24"/>
          <w:szCs w:val="24"/>
        </w:rPr>
        <w:t xml:space="preserve">; </w:t>
      </w:r>
      <w:r w:rsidR="005B367D">
        <w:rPr>
          <w:rFonts w:ascii="Times New Roman" w:hAnsi="Times New Roman" w:cs="Times New Roman"/>
          <w:sz w:val="24"/>
          <w:szCs w:val="24"/>
        </w:rPr>
        <w:t xml:space="preserve">the </w:t>
      </w:r>
      <w:r w:rsidR="007502A1">
        <w:rPr>
          <w:rFonts w:ascii="Times New Roman" w:hAnsi="Times New Roman" w:cs="Times New Roman"/>
          <w:sz w:val="24"/>
          <w:szCs w:val="24"/>
        </w:rPr>
        <w:t xml:space="preserve">Five Facet Mindfulness </w:t>
      </w:r>
      <w:r w:rsidR="00094C20">
        <w:rPr>
          <w:rFonts w:ascii="Times New Roman" w:hAnsi="Times New Roman" w:cs="Times New Roman"/>
          <w:sz w:val="24"/>
          <w:szCs w:val="24"/>
        </w:rPr>
        <w:t xml:space="preserve">Questionnaire (FFMQ), a 39 item </w:t>
      </w:r>
      <w:r w:rsidR="007502A1">
        <w:rPr>
          <w:rFonts w:ascii="Times New Roman" w:hAnsi="Times New Roman" w:cs="Times New Roman"/>
          <w:sz w:val="24"/>
          <w:szCs w:val="24"/>
        </w:rPr>
        <w:t>scale assessing</w:t>
      </w:r>
      <w:r w:rsidR="005B367D">
        <w:rPr>
          <w:rFonts w:ascii="Times New Roman" w:hAnsi="Times New Roman" w:cs="Times New Roman"/>
          <w:sz w:val="24"/>
          <w:szCs w:val="24"/>
        </w:rPr>
        <w:t xml:space="preserve"> skills associated with mindfulness: </w:t>
      </w:r>
      <w:r w:rsidR="007502A1">
        <w:rPr>
          <w:rFonts w:ascii="Times New Roman" w:hAnsi="Times New Roman" w:cs="Times New Roman"/>
          <w:sz w:val="24"/>
          <w:szCs w:val="24"/>
        </w:rPr>
        <w:t>observing, describing, acting with awareness, non-judging of inner experience, and non</w:t>
      </w:r>
      <w:r w:rsidR="00AB3CCE">
        <w:rPr>
          <w:rFonts w:ascii="Times New Roman" w:hAnsi="Times New Roman" w:cs="Times New Roman"/>
          <w:sz w:val="24"/>
          <w:szCs w:val="24"/>
        </w:rPr>
        <w:t>-reactivity to inner experience</w:t>
      </w:r>
      <w:r w:rsidR="00E664D1">
        <w:rPr>
          <w:rFonts w:ascii="Times New Roman" w:hAnsi="Times New Roman" w:cs="Times New Roman"/>
          <w:sz w:val="24"/>
          <w:szCs w:val="24"/>
        </w:rPr>
        <w:t xml:space="preserve"> (Baer</w:t>
      </w:r>
      <w:r w:rsidR="00A07A07">
        <w:rPr>
          <w:rFonts w:ascii="Times New Roman" w:hAnsi="Times New Roman" w:cs="Times New Roman"/>
          <w:sz w:val="24"/>
          <w:szCs w:val="24"/>
        </w:rPr>
        <w:t>, Smith, Hopkins, Krietemeyer, &amp; Toney, 2006)</w:t>
      </w:r>
      <w:r w:rsidR="007502A1">
        <w:rPr>
          <w:rFonts w:ascii="Times New Roman" w:hAnsi="Times New Roman" w:cs="Times New Roman"/>
          <w:sz w:val="24"/>
          <w:szCs w:val="24"/>
        </w:rPr>
        <w:t xml:space="preserve">; the </w:t>
      </w:r>
      <w:r w:rsidR="00814B7D">
        <w:rPr>
          <w:rFonts w:ascii="Times New Roman" w:hAnsi="Times New Roman" w:cs="Times New Roman"/>
          <w:sz w:val="24"/>
          <w:szCs w:val="24"/>
        </w:rPr>
        <w:t xml:space="preserve">brief version of the </w:t>
      </w:r>
      <w:r w:rsidR="007502A1">
        <w:rPr>
          <w:rFonts w:ascii="Times New Roman" w:hAnsi="Times New Roman" w:cs="Times New Roman"/>
          <w:sz w:val="24"/>
          <w:szCs w:val="24"/>
        </w:rPr>
        <w:t>World Health Organisation Quality of Life</w:t>
      </w:r>
      <w:r w:rsidR="00814B7D">
        <w:rPr>
          <w:rFonts w:ascii="Times New Roman" w:hAnsi="Times New Roman" w:cs="Times New Roman"/>
          <w:sz w:val="24"/>
          <w:szCs w:val="24"/>
        </w:rPr>
        <w:t xml:space="preserve"> questionnaire (WHOQOL-BREF), </w:t>
      </w:r>
      <w:r w:rsidR="00E66ABC">
        <w:rPr>
          <w:rFonts w:ascii="Times New Roman" w:hAnsi="Times New Roman" w:cs="Times New Roman"/>
          <w:sz w:val="24"/>
          <w:szCs w:val="24"/>
        </w:rPr>
        <w:t>comprising</w:t>
      </w:r>
      <w:r w:rsidR="00814B7D">
        <w:rPr>
          <w:rFonts w:ascii="Times New Roman" w:hAnsi="Times New Roman" w:cs="Times New Roman"/>
          <w:sz w:val="24"/>
          <w:szCs w:val="24"/>
        </w:rPr>
        <w:t xml:space="preserve"> of 26 items assessing the four domains of physical health, psychological well-being, social relationships, and environment,</w:t>
      </w:r>
      <w:r w:rsidR="00094C20">
        <w:rPr>
          <w:rFonts w:ascii="Times New Roman" w:hAnsi="Times New Roman" w:cs="Times New Roman"/>
          <w:sz w:val="24"/>
          <w:szCs w:val="24"/>
        </w:rPr>
        <w:t xml:space="preserve"> as</w:t>
      </w:r>
      <w:r w:rsidR="009F3122">
        <w:rPr>
          <w:rFonts w:ascii="Times New Roman" w:hAnsi="Times New Roman" w:cs="Times New Roman"/>
          <w:sz w:val="24"/>
          <w:szCs w:val="24"/>
        </w:rPr>
        <w:t xml:space="preserve"> well as general quality of life and health as</w:t>
      </w:r>
      <w:r w:rsidR="00094C20">
        <w:rPr>
          <w:rFonts w:ascii="Times New Roman" w:hAnsi="Times New Roman" w:cs="Times New Roman"/>
          <w:sz w:val="24"/>
          <w:szCs w:val="24"/>
        </w:rPr>
        <w:t xml:space="preserve"> experienced</w:t>
      </w:r>
      <w:r w:rsidR="00814B7D">
        <w:rPr>
          <w:rFonts w:ascii="Times New Roman" w:hAnsi="Times New Roman" w:cs="Times New Roman"/>
          <w:sz w:val="24"/>
          <w:szCs w:val="24"/>
        </w:rPr>
        <w:t xml:space="preserve"> </w:t>
      </w:r>
      <w:r w:rsidR="009B53E8">
        <w:rPr>
          <w:rFonts w:ascii="Times New Roman" w:hAnsi="Times New Roman" w:cs="Times New Roman"/>
          <w:sz w:val="24"/>
          <w:szCs w:val="24"/>
        </w:rPr>
        <w:t>in the last month</w:t>
      </w:r>
      <w:r w:rsidR="008E7552">
        <w:rPr>
          <w:rFonts w:ascii="Times New Roman" w:hAnsi="Times New Roman" w:cs="Times New Roman"/>
          <w:sz w:val="24"/>
          <w:szCs w:val="24"/>
        </w:rPr>
        <w:t xml:space="preserve"> (The WHOQOL Group, 1998)</w:t>
      </w:r>
      <w:r w:rsidR="009B53E8">
        <w:rPr>
          <w:rFonts w:ascii="Times New Roman" w:hAnsi="Times New Roman" w:cs="Times New Roman"/>
          <w:sz w:val="24"/>
          <w:szCs w:val="24"/>
        </w:rPr>
        <w:t xml:space="preserve">; </w:t>
      </w:r>
      <w:r w:rsidR="00814B7D">
        <w:rPr>
          <w:rFonts w:ascii="Times New Roman" w:hAnsi="Times New Roman" w:cs="Times New Roman"/>
          <w:sz w:val="24"/>
          <w:szCs w:val="24"/>
        </w:rPr>
        <w:t>and the ten item version of the Perceived Stres</w:t>
      </w:r>
      <w:r w:rsidR="00B57F1F">
        <w:rPr>
          <w:rFonts w:ascii="Times New Roman" w:hAnsi="Times New Roman" w:cs="Times New Roman"/>
          <w:sz w:val="24"/>
          <w:szCs w:val="24"/>
        </w:rPr>
        <w:t xml:space="preserve">s Scale (PSS) </w:t>
      </w:r>
      <w:r w:rsidR="00814B7D">
        <w:rPr>
          <w:rFonts w:ascii="Times New Roman" w:hAnsi="Times New Roman" w:cs="Times New Roman"/>
          <w:sz w:val="24"/>
          <w:szCs w:val="24"/>
        </w:rPr>
        <w:t>assessing</w:t>
      </w:r>
      <w:r w:rsidR="00BB7199">
        <w:rPr>
          <w:rFonts w:ascii="Times New Roman" w:hAnsi="Times New Roman" w:cs="Times New Roman"/>
          <w:sz w:val="24"/>
          <w:szCs w:val="24"/>
        </w:rPr>
        <w:t xml:space="preserve"> the prevalence of</w:t>
      </w:r>
      <w:r w:rsidR="00814B7D">
        <w:rPr>
          <w:rFonts w:ascii="Times New Roman" w:hAnsi="Times New Roman" w:cs="Times New Roman"/>
          <w:sz w:val="24"/>
          <w:szCs w:val="24"/>
        </w:rPr>
        <w:t xml:space="preserve"> </w:t>
      </w:r>
      <w:r w:rsidR="009B53E8">
        <w:rPr>
          <w:rFonts w:ascii="Times New Roman" w:hAnsi="Times New Roman" w:cs="Times New Roman"/>
          <w:sz w:val="24"/>
          <w:szCs w:val="24"/>
        </w:rPr>
        <w:t xml:space="preserve">thoughts and feelings associated with stress </w:t>
      </w:r>
      <w:r w:rsidR="00814B7D">
        <w:rPr>
          <w:rFonts w:ascii="Times New Roman" w:hAnsi="Times New Roman" w:cs="Times New Roman"/>
          <w:sz w:val="24"/>
          <w:szCs w:val="24"/>
        </w:rPr>
        <w:t>in the previous month</w:t>
      </w:r>
      <w:r w:rsidR="00C66ABD">
        <w:rPr>
          <w:rFonts w:ascii="Times New Roman" w:hAnsi="Times New Roman" w:cs="Times New Roman"/>
          <w:sz w:val="24"/>
          <w:szCs w:val="24"/>
        </w:rPr>
        <w:t xml:space="preserve"> (Cohen &amp; Williamson, 1988)</w:t>
      </w:r>
      <w:r w:rsidR="00814B7D">
        <w:rPr>
          <w:rFonts w:ascii="Times New Roman" w:hAnsi="Times New Roman" w:cs="Times New Roman"/>
          <w:sz w:val="24"/>
          <w:szCs w:val="24"/>
        </w:rPr>
        <w:t>.</w:t>
      </w:r>
    </w:p>
    <w:p w:rsidR="006E26D6" w:rsidRDefault="006E26D6" w:rsidP="00EE773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7ED2" w:rsidRPr="00AB3CCE" w:rsidRDefault="00CA7ED2" w:rsidP="00EE773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3CCE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414305" w:rsidRDefault="006E26D6" w:rsidP="00EE773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Participants attended the standard 8-week</w:t>
      </w:r>
      <w:r w:rsidR="00B41B2F">
        <w:rPr>
          <w:rFonts w:ascii="Times New Roman" w:hAnsi="Times New Roman" w:cs="Times New Roman"/>
          <w:sz w:val="24"/>
          <w:szCs w:val="24"/>
        </w:rPr>
        <w:t xml:space="preserve"> </w:t>
      </w:r>
      <w:r w:rsidR="00EE64DF">
        <w:rPr>
          <w:rFonts w:ascii="Times New Roman" w:hAnsi="Times New Roman" w:cs="Times New Roman"/>
          <w:sz w:val="24"/>
          <w:szCs w:val="24"/>
        </w:rPr>
        <w:t>MBSR</w:t>
      </w:r>
      <w:r w:rsidR="00AB3CCE">
        <w:rPr>
          <w:rFonts w:ascii="Times New Roman" w:hAnsi="Times New Roman" w:cs="Times New Roman"/>
          <w:sz w:val="24"/>
          <w:szCs w:val="24"/>
        </w:rPr>
        <w:t xml:space="preserve"> course</w:t>
      </w:r>
      <w:r w:rsidR="00EE64DF">
        <w:rPr>
          <w:rFonts w:ascii="Times New Roman" w:hAnsi="Times New Roman" w:cs="Times New Roman"/>
          <w:sz w:val="24"/>
          <w:szCs w:val="24"/>
        </w:rPr>
        <w:t xml:space="preserve">, </w:t>
      </w:r>
      <w:r w:rsidR="00B41B2F">
        <w:rPr>
          <w:rFonts w:ascii="Times New Roman" w:hAnsi="Times New Roman" w:cs="Times New Roman"/>
          <w:sz w:val="24"/>
          <w:szCs w:val="24"/>
        </w:rPr>
        <w:t>funded by their employer</w:t>
      </w:r>
      <w:r w:rsidR="00414305">
        <w:rPr>
          <w:rFonts w:ascii="Times New Roman" w:hAnsi="Times New Roman" w:cs="Times New Roman"/>
          <w:sz w:val="24"/>
          <w:szCs w:val="24"/>
        </w:rPr>
        <w:t>.</w:t>
      </w:r>
      <w:r w:rsidR="003F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course was taught by a qualified mindfulness trainer with over 15 years of experience in MBSR teaching. </w:t>
      </w:r>
      <w:r w:rsidR="003F2EB2">
        <w:rPr>
          <w:rFonts w:ascii="Times New Roman" w:hAnsi="Times New Roman" w:cs="Times New Roman"/>
          <w:sz w:val="24"/>
          <w:szCs w:val="24"/>
        </w:rPr>
        <w:t>At the beginning of the</w:t>
      </w:r>
      <w:r w:rsidR="00414305">
        <w:rPr>
          <w:rFonts w:ascii="Times New Roman" w:hAnsi="Times New Roman" w:cs="Times New Roman"/>
          <w:sz w:val="24"/>
          <w:szCs w:val="24"/>
        </w:rPr>
        <w:t xml:space="preserve"> first session</w:t>
      </w:r>
      <w:r w:rsidR="00B41B2F">
        <w:rPr>
          <w:rFonts w:ascii="Times New Roman" w:hAnsi="Times New Roman" w:cs="Times New Roman"/>
          <w:sz w:val="24"/>
          <w:szCs w:val="24"/>
        </w:rPr>
        <w:t xml:space="preserve"> of the course</w:t>
      </w:r>
      <w:r w:rsidR="00414305">
        <w:rPr>
          <w:rFonts w:ascii="Times New Roman" w:hAnsi="Times New Roman" w:cs="Times New Roman"/>
          <w:sz w:val="24"/>
          <w:szCs w:val="24"/>
        </w:rPr>
        <w:t xml:space="preserve"> participants completed </w:t>
      </w:r>
      <w:r w:rsidR="00AB3CCE">
        <w:rPr>
          <w:rFonts w:ascii="Times New Roman" w:hAnsi="Times New Roman" w:cs="Times New Roman"/>
          <w:sz w:val="24"/>
          <w:szCs w:val="24"/>
        </w:rPr>
        <w:t xml:space="preserve">the </w:t>
      </w:r>
      <w:r w:rsidR="00414305">
        <w:rPr>
          <w:rFonts w:ascii="Times New Roman" w:hAnsi="Times New Roman" w:cs="Times New Roman"/>
          <w:sz w:val="24"/>
          <w:szCs w:val="24"/>
        </w:rPr>
        <w:t>four questionnair</w:t>
      </w:r>
      <w:r>
        <w:rPr>
          <w:rFonts w:ascii="Times New Roman" w:hAnsi="Times New Roman" w:cs="Times New Roman"/>
          <w:sz w:val="24"/>
          <w:szCs w:val="24"/>
        </w:rPr>
        <w:t xml:space="preserve">es assessing variables related </w:t>
      </w:r>
      <w:r w:rsidR="00414305">
        <w:rPr>
          <w:rFonts w:ascii="Times New Roman" w:hAnsi="Times New Roman" w:cs="Times New Roman"/>
          <w:sz w:val="24"/>
          <w:szCs w:val="24"/>
        </w:rPr>
        <w:t>to well-being.</w:t>
      </w:r>
      <w:r w:rsidR="003F2EB2">
        <w:rPr>
          <w:rFonts w:ascii="Times New Roman" w:hAnsi="Times New Roman" w:cs="Times New Roman"/>
          <w:sz w:val="24"/>
          <w:szCs w:val="24"/>
        </w:rPr>
        <w:t xml:space="preserve"> At the end of the</w:t>
      </w:r>
      <w:r w:rsidR="00B41B2F">
        <w:rPr>
          <w:rFonts w:ascii="Times New Roman" w:hAnsi="Times New Roman" w:cs="Times New Roman"/>
          <w:sz w:val="24"/>
          <w:szCs w:val="24"/>
        </w:rPr>
        <w:t xml:space="preserve"> last session</w:t>
      </w:r>
      <w:r w:rsidR="00EE64DF">
        <w:rPr>
          <w:rFonts w:ascii="Times New Roman" w:hAnsi="Times New Roman" w:cs="Times New Roman"/>
          <w:sz w:val="24"/>
          <w:szCs w:val="24"/>
        </w:rPr>
        <w:t xml:space="preserve"> of the course</w:t>
      </w:r>
      <w:r w:rsidR="00B41B2F">
        <w:rPr>
          <w:rFonts w:ascii="Times New Roman" w:hAnsi="Times New Roman" w:cs="Times New Roman"/>
          <w:sz w:val="24"/>
          <w:szCs w:val="24"/>
        </w:rPr>
        <w:t xml:space="preserve"> participants completed the same four questionnaires.</w:t>
      </w:r>
      <w:r w:rsidR="00EE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D6" w:rsidRDefault="006E26D6" w:rsidP="00EE773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26D6" w:rsidRDefault="006E26D6" w:rsidP="00EE773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26D6" w:rsidRDefault="006E26D6" w:rsidP="00EE773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3CCE" w:rsidRDefault="00AB3CCE" w:rsidP="00EE773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7ED2" w:rsidRPr="00AB3CCE" w:rsidRDefault="00B549A4" w:rsidP="00EE773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CE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:rsidR="001E3977" w:rsidRDefault="009A0620" w:rsidP="00EE773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Paired-samples t-tests </w:t>
      </w:r>
      <w:r w:rsidR="00AB3CCE">
        <w:rPr>
          <w:rFonts w:ascii="Times New Roman" w:hAnsi="Times New Roman" w:cs="Times New Roman"/>
          <w:sz w:val="24"/>
          <w:szCs w:val="24"/>
        </w:rPr>
        <w:t>assessed</w:t>
      </w:r>
      <w:r w:rsidR="003C63D3">
        <w:rPr>
          <w:rFonts w:ascii="Times New Roman" w:hAnsi="Times New Roman" w:cs="Times New Roman"/>
          <w:sz w:val="24"/>
          <w:szCs w:val="24"/>
        </w:rPr>
        <w:t xml:space="preserve"> the differences in participants’ </w:t>
      </w:r>
      <w:r w:rsidR="00485EE5">
        <w:rPr>
          <w:rFonts w:ascii="Times New Roman" w:hAnsi="Times New Roman" w:cs="Times New Roman"/>
          <w:sz w:val="24"/>
          <w:szCs w:val="24"/>
        </w:rPr>
        <w:t>ratings of variables relating to well-being before and after completing mindfulness training.</w:t>
      </w:r>
      <w:r w:rsidR="00A72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9A4" w:rsidRPr="002A4751" w:rsidRDefault="00453380" w:rsidP="00EE773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</w:t>
      </w:r>
      <w:r w:rsidR="00B549A4">
        <w:rPr>
          <w:rFonts w:ascii="Times New Roman" w:hAnsi="Times New Roman" w:cs="Times New Roman"/>
          <w:sz w:val="24"/>
          <w:szCs w:val="24"/>
        </w:rPr>
        <w:t>significant difference in participants’ ratings of well-being</w:t>
      </w:r>
      <w:r w:rsidR="009B6ED6">
        <w:rPr>
          <w:rFonts w:ascii="Times New Roman" w:hAnsi="Times New Roman" w:cs="Times New Roman"/>
          <w:sz w:val="24"/>
          <w:szCs w:val="24"/>
        </w:rPr>
        <w:t xml:space="preserve"> before (</w:t>
      </w:r>
      <w:r w:rsidR="009B6ED6" w:rsidRPr="005861B2">
        <w:rPr>
          <w:rFonts w:ascii="Times New Roman" w:hAnsi="Times New Roman" w:cs="Times New Roman"/>
          <w:i/>
          <w:sz w:val="24"/>
          <w:szCs w:val="24"/>
        </w:rPr>
        <w:t>M</w:t>
      </w:r>
      <w:r w:rsidR="009B6ED6">
        <w:rPr>
          <w:rFonts w:ascii="Times New Roman" w:hAnsi="Times New Roman" w:cs="Times New Roman"/>
          <w:sz w:val="24"/>
          <w:szCs w:val="24"/>
        </w:rPr>
        <w:t xml:space="preserve"> =</w:t>
      </w:r>
      <w:r w:rsidR="005861B2">
        <w:rPr>
          <w:rFonts w:ascii="Times New Roman" w:hAnsi="Times New Roman" w:cs="Times New Roman"/>
          <w:sz w:val="24"/>
          <w:szCs w:val="24"/>
        </w:rPr>
        <w:t xml:space="preserve"> 43.4</w:t>
      </w:r>
      <w:r w:rsidR="009B6ED6">
        <w:rPr>
          <w:rFonts w:ascii="Times New Roman" w:hAnsi="Times New Roman" w:cs="Times New Roman"/>
          <w:sz w:val="24"/>
          <w:szCs w:val="24"/>
        </w:rPr>
        <w:t xml:space="preserve">, </w:t>
      </w:r>
      <w:r w:rsidR="009B6ED6" w:rsidRPr="005861B2">
        <w:rPr>
          <w:rFonts w:ascii="Times New Roman" w:hAnsi="Times New Roman" w:cs="Times New Roman"/>
          <w:i/>
          <w:sz w:val="24"/>
          <w:szCs w:val="24"/>
        </w:rPr>
        <w:t>SD</w:t>
      </w:r>
      <w:r w:rsidR="009B6ED6">
        <w:rPr>
          <w:rFonts w:ascii="Times New Roman" w:hAnsi="Times New Roman" w:cs="Times New Roman"/>
          <w:sz w:val="24"/>
          <w:szCs w:val="24"/>
        </w:rPr>
        <w:t xml:space="preserve"> = </w:t>
      </w:r>
      <w:r w:rsidR="005861B2">
        <w:rPr>
          <w:rFonts w:ascii="Times New Roman" w:hAnsi="Times New Roman" w:cs="Times New Roman"/>
          <w:sz w:val="24"/>
          <w:szCs w:val="24"/>
        </w:rPr>
        <w:t>6.67</w:t>
      </w:r>
      <w:r w:rsidR="009B6ED6">
        <w:rPr>
          <w:rFonts w:ascii="Times New Roman" w:hAnsi="Times New Roman" w:cs="Times New Roman"/>
          <w:sz w:val="24"/>
          <w:szCs w:val="24"/>
        </w:rPr>
        <w:t>) and after (</w:t>
      </w:r>
      <w:r w:rsidR="009B6ED6" w:rsidRPr="005861B2">
        <w:rPr>
          <w:rFonts w:ascii="Times New Roman" w:hAnsi="Times New Roman" w:cs="Times New Roman"/>
          <w:i/>
          <w:sz w:val="24"/>
          <w:szCs w:val="24"/>
        </w:rPr>
        <w:t>M</w:t>
      </w:r>
      <w:r w:rsidR="009B6ED6">
        <w:rPr>
          <w:rFonts w:ascii="Times New Roman" w:hAnsi="Times New Roman" w:cs="Times New Roman"/>
          <w:sz w:val="24"/>
          <w:szCs w:val="24"/>
        </w:rPr>
        <w:t xml:space="preserve"> =</w:t>
      </w:r>
      <w:r w:rsidR="005861B2">
        <w:rPr>
          <w:rFonts w:ascii="Times New Roman" w:hAnsi="Times New Roman" w:cs="Times New Roman"/>
          <w:sz w:val="24"/>
          <w:szCs w:val="24"/>
        </w:rPr>
        <w:t xml:space="preserve"> 51.9</w:t>
      </w:r>
      <w:r w:rsidR="009B6ED6">
        <w:rPr>
          <w:rFonts w:ascii="Times New Roman" w:hAnsi="Times New Roman" w:cs="Times New Roman"/>
          <w:sz w:val="24"/>
          <w:szCs w:val="24"/>
        </w:rPr>
        <w:t xml:space="preserve">, </w:t>
      </w:r>
      <w:r w:rsidR="009B6ED6" w:rsidRPr="00974CCE">
        <w:rPr>
          <w:rFonts w:ascii="Times New Roman" w:hAnsi="Times New Roman" w:cs="Times New Roman"/>
          <w:i/>
          <w:sz w:val="24"/>
          <w:szCs w:val="24"/>
        </w:rPr>
        <w:t>SD</w:t>
      </w:r>
      <w:r w:rsidR="009B6ED6">
        <w:rPr>
          <w:rFonts w:ascii="Times New Roman" w:hAnsi="Times New Roman" w:cs="Times New Roman"/>
          <w:sz w:val="24"/>
          <w:szCs w:val="24"/>
        </w:rPr>
        <w:t xml:space="preserve"> = </w:t>
      </w:r>
      <w:r w:rsidR="00BD6FA2">
        <w:rPr>
          <w:rFonts w:ascii="Times New Roman" w:hAnsi="Times New Roman" w:cs="Times New Roman"/>
          <w:sz w:val="24"/>
          <w:szCs w:val="24"/>
        </w:rPr>
        <w:t>5.94</w:t>
      </w:r>
      <w:r w:rsidR="009B6ED6">
        <w:rPr>
          <w:rFonts w:ascii="Times New Roman" w:hAnsi="Times New Roman" w:cs="Times New Roman"/>
          <w:sz w:val="24"/>
          <w:szCs w:val="24"/>
        </w:rPr>
        <w:t>) completing the course,</w:t>
      </w:r>
      <w:r w:rsidR="001E3977">
        <w:rPr>
          <w:rFonts w:ascii="Times New Roman" w:hAnsi="Times New Roman" w:cs="Times New Roman"/>
          <w:sz w:val="24"/>
          <w:szCs w:val="24"/>
        </w:rPr>
        <w:t xml:space="preserve"> as measured by the WEMWBS</w:t>
      </w:r>
      <w:r w:rsidR="002D320B">
        <w:rPr>
          <w:rFonts w:ascii="Times New Roman" w:hAnsi="Times New Roman" w:cs="Times New Roman"/>
          <w:sz w:val="24"/>
          <w:szCs w:val="24"/>
        </w:rPr>
        <w:t xml:space="preserve"> (Tennant et al., 2007)</w:t>
      </w:r>
      <w:r w:rsidR="001E3977">
        <w:rPr>
          <w:rFonts w:ascii="Times New Roman" w:hAnsi="Times New Roman" w:cs="Times New Roman"/>
          <w:sz w:val="24"/>
          <w:szCs w:val="24"/>
        </w:rPr>
        <w:t>,</w:t>
      </w:r>
      <w:r w:rsidR="001E3977" w:rsidRPr="001E3977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1E3977">
        <w:rPr>
          <w:rFonts w:ascii="Times New Roman" w:hAnsi="Times New Roman" w:cs="Times New Roman"/>
          <w:sz w:val="24"/>
          <w:szCs w:val="24"/>
        </w:rPr>
        <w:t xml:space="preserve">(9) = -3.98, </w:t>
      </w:r>
      <w:r w:rsidR="001E3977" w:rsidRPr="001E3977">
        <w:rPr>
          <w:rFonts w:ascii="Times New Roman" w:hAnsi="Times New Roman" w:cs="Times New Roman"/>
          <w:i/>
          <w:sz w:val="24"/>
          <w:szCs w:val="24"/>
        </w:rPr>
        <w:t>p</w:t>
      </w:r>
      <w:r w:rsidR="001E3977">
        <w:rPr>
          <w:rFonts w:ascii="Times New Roman" w:hAnsi="Times New Roman" w:cs="Times New Roman"/>
          <w:sz w:val="24"/>
          <w:szCs w:val="24"/>
        </w:rPr>
        <w:t xml:space="preserve"> = .003.</w:t>
      </w:r>
      <w:r w:rsidR="00B54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257" w:rsidRDefault="008A003D" w:rsidP="00C86B07">
      <w:pPr>
        <w:jc w:val="center"/>
      </w:pPr>
      <w:r w:rsidRPr="008A003D">
        <w:rPr>
          <w:noProof/>
          <w:lang w:eastAsia="en-GB"/>
        </w:rPr>
        <w:drawing>
          <wp:inline distT="0" distB="0" distL="0" distR="0">
            <wp:extent cx="3067050" cy="2466975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6B07" w:rsidRDefault="00C86B07" w:rsidP="00565257">
      <w:pPr>
        <w:rPr>
          <w:rFonts w:ascii="Times New Roman" w:hAnsi="Times New Roman" w:cs="Times New Roman"/>
          <w:sz w:val="24"/>
          <w:szCs w:val="24"/>
        </w:rPr>
      </w:pPr>
      <w:r w:rsidRPr="00C86B07">
        <w:rPr>
          <w:rFonts w:ascii="Times New Roman" w:hAnsi="Times New Roman" w:cs="Times New Roman"/>
          <w:i/>
          <w:sz w:val="24"/>
          <w:szCs w:val="24"/>
        </w:rPr>
        <w:t>Figure 1</w:t>
      </w:r>
      <w:r w:rsidRPr="00C86B07">
        <w:rPr>
          <w:rFonts w:ascii="Times New Roman" w:hAnsi="Times New Roman" w:cs="Times New Roman"/>
          <w:sz w:val="24"/>
          <w:szCs w:val="24"/>
        </w:rPr>
        <w:t>. Mean WEMWBS scores before and after mindfulness training.</w:t>
      </w:r>
      <w:r w:rsidR="008A003D">
        <w:rPr>
          <w:rFonts w:ascii="Times New Roman" w:hAnsi="Times New Roman" w:cs="Times New Roman"/>
          <w:sz w:val="24"/>
          <w:szCs w:val="24"/>
        </w:rPr>
        <w:t xml:space="preserve"> Error bars denote the standard deviation.</w:t>
      </w:r>
    </w:p>
    <w:p w:rsidR="00F43DC2" w:rsidRPr="00C86B07" w:rsidRDefault="00F43DC2" w:rsidP="00565257">
      <w:pPr>
        <w:rPr>
          <w:rFonts w:ascii="Times New Roman" w:hAnsi="Times New Roman" w:cs="Times New Roman"/>
          <w:sz w:val="24"/>
          <w:szCs w:val="24"/>
        </w:rPr>
      </w:pPr>
    </w:p>
    <w:p w:rsidR="000B2CF4" w:rsidRDefault="00142C64" w:rsidP="00F43DC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CC702A">
        <w:rPr>
          <w:rFonts w:ascii="Times New Roman" w:hAnsi="Times New Roman" w:cs="Times New Roman"/>
          <w:sz w:val="24"/>
          <w:szCs w:val="24"/>
        </w:rPr>
        <w:t xml:space="preserve">the mean </w:t>
      </w:r>
      <w:r>
        <w:rPr>
          <w:rFonts w:ascii="Times New Roman" w:hAnsi="Times New Roman" w:cs="Times New Roman"/>
          <w:sz w:val="24"/>
          <w:szCs w:val="24"/>
        </w:rPr>
        <w:t>of the facet</w:t>
      </w:r>
      <w:r w:rsidR="00CC7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702A">
        <w:rPr>
          <w:rFonts w:ascii="Times New Roman" w:hAnsi="Times New Roman" w:cs="Times New Roman"/>
          <w:sz w:val="24"/>
          <w:szCs w:val="24"/>
        </w:rPr>
        <w:t>cores</w:t>
      </w:r>
      <w:r>
        <w:rPr>
          <w:rFonts w:ascii="Times New Roman" w:hAnsi="Times New Roman" w:cs="Times New Roman"/>
          <w:sz w:val="24"/>
          <w:szCs w:val="24"/>
        </w:rPr>
        <w:t xml:space="preserve"> measured by the FFMQ</w:t>
      </w:r>
      <w:r w:rsidR="007128A3">
        <w:rPr>
          <w:rFonts w:ascii="Times New Roman" w:hAnsi="Times New Roman" w:cs="Times New Roman"/>
          <w:sz w:val="24"/>
          <w:szCs w:val="24"/>
        </w:rPr>
        <w:t xml:space="preserve"> (Baer et al., 2006)</w:t>
      </w:r>
      <w:r>
        <w:rPr>
          <w:rFonts w:ascii="Times New Roman" w:hAnsi="Times New Roman" w:cs="Times New Roman"/>
          <w:sz w:val="24"/>
          <w:szCs w:val="24"/>
        </w:rPr>
        <w:t>, a p</w:t>
      </w:r>
      <w:r w:rsidR="00D63F4E" w:rsidRPr="00B7577B">
        <w:rPr>
          <w:rFonts w:ascii="Times New Roman" w:hAnsi="Times New Roman" w:cs="Times New Roman"/>
          <w:sz w:val="24"/>
          <w:szCs w:val="24"/>
        </w:rPr>
        <w:t>aired-samples t-test</w:t>
      </w:r>
      <w:r w:rsidR="00FB22BB">
        <w:rPr>
          <w:rFonts w:ascii="Times New Roman" w:hAnsi="Times New Roman" w:cs="Times New Roman"/>
          <w:sz w:val="24"/>
          <w:szCs w:val="24"/>
        </w:rPr>
        <w:t xml:space="preserve"> indicated</w:t>
      </w:r>
      <w:r w:rsidR="00D63F4E" w:rsidRPr="00B7577B">
        <w:rPr>
          <w:rFonts w:ascii="Times New Roman" w:hAnsi="Times New Roman" w:cs="Times New Roman"/>
          <w:sz w:val="24"/>
          <w:szCs w:val="24"/>
        </w:rPr>
        <w:t xml:space="preserve"> a significant difference in participants’ overall mindfulness before (</w:t>
      </w:r>
      <w:r w:rsidR="002E7320" w:rsidRPr="00B7577B">
        <w:rPr>
          <w:rFonts w:ascii="Times New Roman" w:hAnsi="Times New Roman" w:cs="Times New Roman"/>
          <w:i/>
          <w:sz w:val="24"/>
          <w:szCs w:val="24"/>
        </w:rPr>
        <w:t>M</w:t>
      </w:r>
      <w:r w:rsidR="00212D53" w:rsidRPr="00B7577B">
        <w:rPr>
          <w:rFonts w:ascii="Times New Roman" w:hAnsi="Times New Roman" w:cs="Times New Roman"/>
          <w:sz w:val="24"/>
          <w:szCs w:val="24"/>
        </w:rPr>
        <w:t xml:space="preserve"> </w:t>
      </w:r>
      <w:r w:rsidR="002E7320" w:rsidRPr="00B7577B">
        <w:rPr>
          <w:rFonts w:ascii="Times New Roman" w:hAnsi="Times New Roman" w:cs="Times New Roman"/>
          <w:sz w:val="24"/>
          <w:szCs w:val="24"/>
        </w:rPr>
        <w:t xml:space="preserve">= 23.76, </w:t>
      </w:r>
      <w:r w:rsidR="002E7320" w:rsidRPr="00B7577B">
        <w:rPr>
          <w:rFonts w:ascii="Times New Roman" w:hAnsi="Times New Roman" w:cs="Times New Roman"/>
          <w:i/>
          <w:sz w:val="24"/>
          <w:szCs w:val="24"/>
        </w:rPr>
        <w:t>SD</w:t>
      </w:r>
      <w:r w:rsidR="002E7320" w:rsidRPr="00B7577B">
        <w:rPr>
          <w:rFonts w:ascii="Times New Roman" w:hAnsi="Times New Roman" w:cs="Times New Roman"/>
          <w:sz w:val="24"/>
          <w:szCs w:val="24"/>
        </w:rPr>
        <w:t xml:space="preserve"> = 3.33</w:t>
      </w:r>
      <w:r w:rsidR="00D63F4E" w:rsidRPr="00B7577B">
        <w:rPr>
          <w:rFonts w:ascii="Times New Roman" w:hAnsi="Times New Roman" w:cs="Times New Roman"/>
          <w:sz w:val="24"/>
          <w:szCs w:val="24"/>
        </w:rPr>
        <w:t>) and after (</w:t>
      </w:r>
      <w:r w:rsidR="00CA6E93" w:rsidRPr="00B7577B">
        <w:rPr>
          <w:rFonts w:ascii="Times New Roman" w:hAnsi="Times New Roman" w:cs="Times New Roman"/>
          <w:i/>
          <w:sz w:val="24"/>
          <w:szCs w:val="24"/>
        </w:rPr>
        <w:t>M</w:t>
      </w:r>
      <w:r w:rsidR="00CA6E93" w:rsidRPr="00B7577B">
        <w:rPr>
          <w:rFonts w:ascii="Times New Roman" w:hAnsi="Times New Roman" w:cs="Times New Roman"/>
          <w:sz w:val="24"/>
          <w:szCs w:val="24"/>
        </w:rPr>
        <w:t xml:space="preserve"> =</w:t>
      </w:r>
      <w:r w:rsidR="008817B5" w:rsidRPr="00B7577B">
        <w:rPr>
          <w:rFonts w:ascii="Times New Roman" w:hAnsi="Times New Roman" w:cs="Times New Roman"/>
          <w:sz w:val="24"/>
          <w:szCs w:val="24"/>
        </w:rPr>
        <w:t xml:space="preserve"> 28.22</w:t>
      </w:r>
      <w:r w:rsidR="00CA6E93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CA6E93" w:rsidRPr="00B7577B">
        <w:rPr>
          <w:rFonts w:ascii="Times New Roman" w:hAnsi="Times New Roman" w:cs="Times New Roman"/>
          <w:i/>
          <w:sz w:val="24"/>
          <w:szCs w:val="24"/>
        </w:rPr>
        <w:t>SD</w:t>
      </w:r>
      <w:r w:rsidR="008817B5" w:rsidRPr="00B7577B">
        <w:rPr>
          <w:rFonts w:ascii="Times New Roman" w:hAnsi="Times New Roman" w:cs="Times New Roman"/>
          <w:sz w:val="24"/>
          <w:szCs w:val="24"/>
        </w:rPr>
        <w:t xml:space="preserve"> = 2.93</w:t>
      </w:r>
      <w:r w:rsidR="00D63F4E" w:rsidRPr="00B7577B">
        <w:rPr>
          <w:rFonts w:ascii="Times New Roman" w:hAnsi="Times New Roman" w:cs="Times New Roman"/>
          <w:sz w:val="24"/>
          <w:szCs w:val="24"/>
        </w:rPr>
        <w:t>) completing the course,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4F7459" w:rsidRPr="00B7577B">
        <w:rPr>
          <w:rFonts w:ascii="Times New Roman" w:hAnsi="Times New Roman" w:cs="Times New Roman"/>
          <w:sz w:val="24"/>
          <w:szCs w:val="24"/>
        </w:rPr>
        <w:t>(9) =</w:t>
      </w:r>
      <w:r w:rsidR="00BD67B3">
        <w:rPr>
          <w:rFonts w:ascii="Times New Roman" w:hAnsi="Times New Roman" w:cs="Times New Roman"/>
          <w:sz w:val="24"/>
          <w:szCs w:val="24"/>
        </w:rPr>
        <w:t xml:space="preserve"> -5.25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>p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 = .00</w:t>
      </w:r>
      <w:r w:rsidR="00BD67B3">
        <w:rPr>
          <w:rFonts w:ascii="Times New Roman" w:hAnsi="Times New Roman" w:cs="Times New Roman"/>
          <w:sz w:val="24"/>
          <w:szCs w:val="24"/>
        </w:rPr>
        <w:t>1. M</w:t>
      </w:r>
      <w:r w:rsidR="00B7577B" w:rsidRPr="00B7577B">
        <w:rPr>
          <w:rFonts w:ascii="Times New Roman" w:hAnsi="Times New Roman" w:cs="Times New Roman"/>
          <w:sz w:val="24"/>
          <w:szCs w:val="24"/>
        </w:rPr>
        <w:t>ore specifically</w:t>
      </w:r>
      <w:r w:rsidR="003A08F4">
        <w:rPr>
          <w:rFonts w:ascii="Times New Roman" w:hAnsi="Times New Roman" w:cs="Times New Roman"/>
          <w:sz w:val="24"/>
          <w:szCs w:val="24"/>
        </w:rPr>
        <w:t>,</w:t>
      </w:r>
      <w:r w:rsidR="00A73DDE">
        <w:rPr>
          <w:rFonts w:ascii="Times New Roman" w:hAnsi="Times New Roman" w:cs="Times New Roman"/>
          <w:sz w:val="24"/>
          <w:szCs w:val="24"/>
        </w:rPr>
        <w:t xml:space="preserve"> there </w:t>
      </w:r>
      <w:r w:rsidR="00FB22BB">
        <w:rPr>
          <w:rFonts w:ascii="Times New Roman" w:hAnsi="Times New Roman" w:cs="Times New Roman"/>
          <w:sz w:val="24"/>
          <w:szCs w:val="24"/>
        </w:rPr>
        <w:t>we</w:t>
      </w:r>
      <w:r w:rsidR="00A73DDE">
        <w:rPr>
          <w:rFonts w:ascii="Times New Roman" w:hAnsi="Times New Roman" w:cs="Times New Roman"/>
          <w:sz w:val="24"/>
          <w:szCs w:val="24"/>
        </w:rPr>
        <w:t>re sign</w:t>
      </w:r>
      <w:r w:rsidR="00D63F4E" w:rsidRPr="00B7577B">
        <w:rPr>
          <w:rFonts w:ascii="Times New Roman" w:hAnsi="Times New Roman" w:cs="Times New Roman"/>
          <w:sz w:val="24"/>
          <w:szCs w:val="24"/>
        </w:rPr>
        <w:t>ificant differences in observing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>t</w:t>
      </w:r>
      <w:r w:rsidR="004F7459" w:rsidRPr="00B7577B">
        <w:rPr>
          <w:rFonts w:ascii="Times New Roman" w:hAnsi="Times New Roman" w:cs="Times New Roman"/>
          <w:sz w:val="24"/>
          <w:szCs w:val="24"/>
        </w:rPr>
        <w:t>(9) =</w:t>
      </w:r>
      <w:r w:rsidR="00756385">
        <w:rPr>
          <w:rFonts w:ascii="Times New Roman" w:hAnsi="Times New Roman" w:cs="Times New Roman"/>
          <w:sz w:val="24"/>
          <w:szCs w:val="24"/>
        </w:rPr>
        <w:t xml:space="preserve"> -6.03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 -, 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>p</w:t>
      </w:r>
      <w:r w:rsidR="00756385">
        <w:rPr>
          <w:rFonts w:ascii="Times New Roman" w:hAnsi="Times New Roman" w:cs="Times New Roman"/>
          <w:sz w:val="24"/>
          <w:szCs w:val="24"/>
        </w:rPr>
        <w:t xml:space="preserve"> &lt; .001</w:t>
      </w:r>
      <w:r w:rsidR="00D63F4E" w:rsidRPr="00B7577B">
        <w:rPr>
          <w:rFonts w:ascii="Times New Roman" w:hAnsi="Times New Roman" w:cs="Times New Roman"/>
          <w:sz w:val="24"/>
          <w:szCs w:val="24"/>
        </w:rPr>
        <w:t>, acting with awareness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>t</w:t>
      </w:r>
      <w:r w:rsidR="004F7459" w:rsidRPr="00B7577B">
        <w:rPr>
          <w:rFonts w:ascii="Times New Roman" w:hAnsi="Times New Roman" w:cs="Times New Roman"/>
          <w:sz w:val="24"/>
          <w:szCs w:val="24"/>
        </w:rPr>
        <w:t>(9) =</w:t>
      </w:r>
      <w:r w:rsidR="00B95BBC">
        <w:rPr>
          <w:rFonts w:ascii="Times New Roman" w:hAnsi="Times New Roman" w:cs="Times New Roman"/>
          <w:sz w:val="24"/>
          <w:szCs w:val="24"/>
        </w:rPr>
        <w:t xml:space="preserve"> -4.69</w:t>
      </w:r>
      <w:r w:rsidR="00BD67B3">
        <w:rPr>
          <w:rFonts w:ascii="Times New Roman" w:hAnsi="Times New Roman" w:cs="Times New Roman"/>
          <w:sz w:val="24"/>
          <w:szCs w:val="24"/>
        </w:rPr>
        <w:t xml:space="preserve"> 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>p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 =</w:t>
      </w:r>
      <w:r w:rsidR="000E376E">
        <w:rPr>
          <w:rFonts w:ascii="Times New Roman" w:hAnsi="Times New Roman" w:cs="Times New Roman"/>
          <w:sz w:val="24"/>
          <w:szCs w:val="24"/>
        </w:rPr>
        <w:t xml:space="preserve"> .001</w:t>
      </w:r>
      <w:r w:rsidR="00D63F4E" w:rsidRPr="00B7577B">
        <w:rPr>
          <w:rFonts w:ascii="Times New Roman" w:hAnsi="Times New Roman" w:cs="Times New Roman"/>
          <w:sz w:val="24"/>
          <w:szCs w:val="24"/>
        </w:rPr>
        <w:t>, and non-judging of inner experience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>t</w:t>
      </w:r>
      <w:r w:rsidR="004F7459" w:rsidRPr="00B7577B">
        <w:rPr>
          <w:rFonts w:ascii="Times New Roman" w:hAnsi="Times New Roman" w:cs="Times New Roman"/>
          <w:sz w:val="24"/>
          <w:szCs w:val="24"/>
        </w:rPr>
        <w:t>(9) =</w:t>
      </w:r>
      <w:r w:rsidR="006643C0">
        <w:rPr>
          <w:rFonts w:ascii="Times New Roman" w:hAnsi="Times New Roman" w:cs="Times New Roman"/>
          <w:sz w:val="24"/>
          <w:szCs w:val="24"/>
        </w:rPr>
        <w:t xml:space="preserve"> -2.37</w:t>
      </w:r>
      <w:r w:rsidR="004F7459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4F7459" w:rsidRPr="00B7577B">
        <w:rPr>
          <w:rFonts w:ascii="Times New Roman" w:hAnsi="Times New Roman" w:cs="Times New Roman"/>
          <w:i/>
          <w:sz w:val="24"/>
          <w:szCs w:val="24"/>
        </w:rPr>
        <w:t>p</w:t>
      </w:r>
      <w:r w:rsidR="006643C0">
        <w:rPr>
          <w:rFonts w:ascii="Times New Roman" w:hAnsi="Times New Roman" w:cs="Times New Roman"/>
          <w:sz w:val="24"/>
          <w:szCs w:val="24"/>
        </w:rPr>
        <w:t xml:space="preserve"> = .042</w:t>
      </w:r>
      <w:r w:rsidR="00D63F4E" w:rsidRPr="00B757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3F4E" w:rsidRPr="00B7577B" w:rsidRDefault="00B1516F" w:rsidP="00454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16F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133975" cy="4210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8F4" w:rsidRDefault="0005360F" w:rsidP="00565257">
      <w:pPr>
        <w:rPr>
          <w:rFonts w:ascii="Times New Roman" w:hAnsi="Times New Roman" w:cs="Times New Roman"/>
          <w:sz w:val="24"/>
          <w:szCs w:val="24"/>
        </w:rPr>
      </w:pPr>
      <w:r w:rsidRPr="006B1DD4">
        <w:rPr>
          <w:rFonts w:ascii="Times New Roman" w:hAnsi="Times New Roman" w:cs="Times New Roman"/>
          <w:i/>
          <w:sz w:val="24"/>
          <w:szCs w:val="24"/>
        </w:rPr>
        <w:t>Figure 2</w:t>
      </w:r>
      <w:r>
        <w:rPr>
          <w:rFonts w:ascii="Times New Roman" w:hAnsi="Times New Roman" w:cs="Times New Roman"/>
          <w:sz w:val="24"/>
          <w:szCs w:val="24"/>
        </w:rPr>
        <w:t>. Mean FFMQ scores before and after mindfulness training.</w:t>
      </w:r>
      <w:r w:rsidR="006B1DD4">
        <w:rPr>
          <w:rFonts w:ascii="Times New Roman" w:hAnsi="Times New Roman" w:cs="Times New Roman"/>
          <w:sz w:val="24"/>
          <w:szCs w:val="24"/>
        </w:rPr>
        <w:t xml:space="preserve"> Asterisks denote significant</w:t>
      </w:r>
      <w:r w:rsidR="007A4CE7">
        <w:rPr>
          <w:rFonts w:ascii="Times New Roman" w:hAnsi="Times New Roman" w:cs="Times New Roman"/>
          <w:sz w:val="24"/>
          <w:szCs w:val="24"/>
        </w:rPr>
        <w:t xml:space="preserve"> difference</w:t>
      </w:r>
      <w:r w:rsidR="006B1DD4">
        <w:rPr>
          <w:rFonts w:ascii="Times New Roman" w:hAnsi="Times New Roman" w:cs="Times New Roman"/>
          <w:sz w:val="24"/>
          <w:szCs w:val="24"/>
        </w:rPr>
        <w:t>.</w:t>
      </w:r>
      <w:r w:rsidR="0080676A">
        <w:rPr>
          <w:rFonts w:ascii="Times New Roman" w:hAnsi="Times New Roman" w:cs="Times New Roman"/>
          <w:sz w:val="24"/>
          <w:szCs w:val="24"/>
        </w:rPr>
        <w:t xml:space="preserve"> Error bars denote the standard deviation.</w:t>
      </w:r>
    </w:p>
    <w:p w:rsidR="00EC23B6" w:rsidRDefault="00D322E9" w:rsidP="009239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completing the course in MBSR, participants’ overall mindfulness according to the FFMQ</w:t>
      </w:r>
      <w:r w:rsidR="007128A3">
        <w:rPr>
          <w:rFonts w:ascii="Times New Roman" w:hAnsi="Times New Roman" w:cs="Times New Roman"/>
          <w:sz w:val="24"/>
          <w:szCs w:val="24"/>
        </w:rPr>
        <w:t xml:space="preserve"> (Baer et al., 2006)</w:t>
      </w:r>
      <w:r w:rsidR="002F6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006">
        <w:rPr>
          <w:rFonts w:ascii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hAnsi="Times New Roman" w:cs="Times New Roman"/>
          <w:sz w:val="24"/>
          <w:szCs w:val="24"/>
        </w:rPr>
        <w:t>correlated with their well-being as reported by the WEMWBS</w:t>
      </w:r>
      <w:r w:rsidR="002F644D">
        <w:rPr>
          <w:rFonts w:ascii="Times New Roman" w:hAnsi="Times New Roman" w:cs="Times New Roman"/>
          <w:sz w:val="24"/>
          <w:szCs w:val="24"/>
        </w:rPr>
        <w:t xml:space="preserve"> (Tennant et al., 2007)</w:t>
      </w:r>
      <w:r w:rsidR="00CC3006">
        <w:rPr>
          <w:rFonts w:ascii="Times New Roman" w:hAnsi="Times New Roman" w:cs="Times New Roman"/>
          <w:sz w:val="24"/>
          <w:szCs w:val="24"/>
        </w:rPr>
        <w:t>,</w:t>
      </w:r>
      <w:r w:rsidR="0091643C" w:rsidRPr="0091643C">
        <w:rPr>
          <w:rFonts w:ascii="Verdana" w:hAnsi="Verdana"/>
          <w:color w:val="000000"/>
          <w:sz w:val="17"/>
          <w:szCs w:val="17"/>
        </w:rPr>
        <w:t xml:space="preserve"> </w:t>
      </w:r>
      <w:r w:rsidR="0091643C" w:rsidRPr="0091643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r</w:t>
      </w:r>
      <w:r w:rsidR="0091643C" w:rsidRPr="0091643C">
        <w:rPr>
          <w:rFonts w:ascii="Times New Roman" w:hAnsi="Times New Roman" w:cs="Times New Roman"/>
          <w:color w:val="000000"/>
          <w:sz w:val="24"/>
          <w:szCs w:val="24"/>
        </w:rPr>
        <w:t xml:space="preserve"> = .</w:t>
      </w:r>
      <w:r w:rsidR="0091643C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91643C" w:rsidRPr="009164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643C" w:rsidRPr="0091643C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p</w:t>
      </w:r>
      <w:r w:rsidR="00916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CB4">
        <w:rPr>
          <w:rFonts w:ascii="Times New Roman" w:hAnsi="Times New Roman" w:cs="Times New Roman"/>
          <w:color w:val="000000"/>
          <w:sz w:val="24"/>
          <w:szCs w:val="24"/>
        </w:rPr>
        <w:t>= .</w:t>
      </w:r>
      <w:r w:rsidR="0091643C" w:rsidRPr="009164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22CB4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91643C">
        <w:rPr>
          <w:rFonts w:ascii="Times New Roman" w:hAnsi="Times New Roman" w:cs="Times New Roman"/>
          <w:sz w:val="24"/>
          <w:szCs w:val="24"/>
        </w:rPr>
        <w:t>.</w:t>
      </w:r>
    </w:p>
    <w:p w:rsidR="00565257" w:rsidRDefault="00724FB4" w:rsidP="00936EB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714750" cy="20764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4FB4" w:rsidRDefault="00724FB4" w:rsidP="0057142A">
      <w:pPr>
        <w:rPr>
          <w:rFonts w:ascii="Times New Roman" w:hAnsi="Times New Roman" w:cs="Times New Roman"/>
          <w:sz w:val="24"/>
          <w:szCs w:val="24"/>
        </w:rPr>
      </w:pPr>
      <w:r w:rsidRPr="00CC702A">
        <w:rPr>
          <w:rFonts w:ascii="Times New Roman" w:hAnsi="Times New Roman" w:cs="Times New Roman"/>
          <w:i/>
          <w:sz w:val="24"/>
          <w:szCs w:val="24"/>
        </w:rPr>
        <w:t>Figure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42A">
        <w:rPr>
          <w:rFonts w:ascii="Times New Roman" w:hAnsi="Times New Roman" w:cs="Times New Roman"/>
          <w:sz w:val="24"/>
          <w:szCs w:val="24"/>
        </w:rPr>
        <w:t>Positive correlation between m</w:t>
      </w:r>
      <w:r w:rsidR="00CC702A">
        <w:rPr>
          <w:rFonts w:ascii="Times New Roman" w:hAnsi="Times New Roman" w:cs="Times New Roman"/>
          <w:sz w:val="24"/>
          <w:szCs w:val="24"/>
        </w:rPr>
        <w:t>ean facet scores on FFMQ, compared to mean WEMWBS scores after mindfulness training.</w:t>
      </w:r>
    </w:p>
    <w:p w:rsidR="00F2409F" w:rsidRDefault="00F2409F" w:rsidP="00F24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09F" w:rsidRDefault="002A0055" w:rsidP="00F240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409F" w:rsidRPr="00B7577B">
        <w:rPr>
          <w:rFonts w:ascii="Times New Roman" w:hAnsi="Times New Roman" w:cs="Times New Roman"/>
          <w:sz w:val="24"/>
          <w:szCs w:val="24"/>
        </w:rPr>
        <w:t>aired-samples t-test</w:t>
      </w:r>
      <w:r>
        <w:rPr>
          <w:rFonts w:ascii="Times New Roman" w:hAnsi="Times New Roman" w:cs="Times New Roman"/>
          <w:sz w:val="24"/>
          <w:szCs w:val="24"/>
        </w:rPr>
        <w:t xml:space="preserve">s were used to assess the differences in the domains associated with quality of life, </w:t>
      </w:r>
      <w:r w:rsidR="006A613B">
        <w:rPr>
          <w:rFonts w:ascii="Times New Roman" w:hAnsi="Times New Roman" w:cs="Times New Roman"/>
          <w:sz w:val="24"/>
          <w:szCs w:val="24"/>
        </w:rPr>
        <w:t>as measured by the WHOQOL-BREF</w:t>
      </w:r>
      <w:r w:rsidR="00542979">
        <w:rPr>
          <w:rFonts w:ascii="Times New Roman" w:hAnsi="Times New Roman" w:cs="Times New Roman"/>
          <w:sz w:val="24"/>
          <w:szCs w:val="24"/>
        </w:rPr>
        <w:t xml:space="preserve"> (The WHOQOL Group, 1998)</w:t>
      </w:r>
      <w:r w:rsidR="006A61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Mindfulness training was</w:t>
      </w:r>
      <w:r w:rsidR="0092393D">
        <w:rPr>
          <w:rFonts w:ascii="Times New Roman" w:hAnsi="Times New Roman" w:cs="Times New Roman"/>
          <w:sz w:val="24"/>
          <w:szCs w:val="24"/>
        </w:rPr>
        <w:t xml:space="preserve"> associated with increased</w:t>
      </w:r>
      <w:r>
        <w:rPr>
          <w:rFonts w:ascii="Times New Roman" w:hAnsi="Times New Roman" w:cs="Times New Roman"/>
          <w:sz w:val="24"/>
          <w:szCs w:val="24"/>
        </w:rPr>
        <w:t xml:space="preserve"> quality of life, with a significant difference </w:t>
      </w:r>
      <w:r w:rsidR="006A613B">
        <w:rPr>
          <w:rFonts w:ascii="Times New Roman" w:hAnsi="Times New Roman" w:cs="Times New Roman"/>
          <w:sz w:val="24"/>
          <w:szCs w:val="24"/>
        </w:rPr>
        <w:t>pa</w:t>
      </w:r>
      <w:r w:rsidR="00A47153">
        <w:rPr>
          <w:rFonts w:ascii="Times New Roman" w:hAnsi="Times New Roman" w:cs="Times New Roman"/>
          <w:sz w:val="24"/>
          <w:szCs w:val="24"/>
        </w:rPr>
        <w:t>r</w:t>
      </w:r>
      <w:r w:rsidR="006A613B">
        <w:rPr>
          <w:rFonts w:ascii="Times New Roman" w:hAnsi="Times New Roman" w:cs="Times New Roman"/>
          <w:sz w:val="24"/>
          <w:szCs w:val="24"/>
        </w:rPr>
        <w:t>tic</w:t>
      </w:r>
      <w:r w:rsidR="00DD08F1">
        <w:rPr>
          <w:rFonts w:ascii="Times New Roman" w:hAnsi="Times New Roman" w:cs="Times New Roman"/>
          <w:sz w:val="24"/>
          <w:szCs w:val="24"/>
        </w:rPr>
        <w:t>ipants’ psychological quality of life</w:t>
      </w:r>
      <w:r w:rsidR="00E35A30">
        <w:rPr>
          <w:rFonts w:ascii="Times New Roman" w:hAnsi="Times New Roman" w:cs="Times New Roman"/>
          <w:sz w:val="24"/>
          <w:szCs w:val="24"/>
        </w:rPr>
        <w:t>,</w:t>
      </w:r>
      <w:r w:rsidR="0092393D">
        <w:rPr>
          <w:rFonts w:ascii="Times New Roman" w:hAnsi="Times New Roman" w:cs="Times New Roman"/>
          <w:sz w:val="24"/>
          <w:szCs w:val="24"/>
        </w:rPr>
        <w:t xml:space="preserve"> </w:t>
      </w:r>
      <w:r w:rsidR="00F2409F" w:rsidRPr="00B7577B">
        <w:rPr>
          <w:rFonts w:ascii="Times New Roman" w:hAnsi="Times New Roman" w:cs="Times New Roman"/>
          <w:i/>
          <w:sz w:val="24"/>
          <w:szCs w:val="24"/>
        </w:rPr>
        <w:t>t</w:t>
      </w:r>
      <w:r w:rsidR="00F2409F" w:rsidRPr="00B7577B">
        <w:rPr>
          <w:rFonts w:ascii="Times New Roman" w:hAnsi="Times New Roman" w:cs="Times New Roman"/>
          <w:sz w:val="24"/>
          <w:szCs w:val="24"/>
        </w:rPr>
        <w:t>(9) =</w:t>
      </w:r>
      <w:r w:rsidR="00F2409F">
        <w:rPr>
          <w:rFonts w:ascii="Times New Roman" w:hAnsi="Times New Roman" w:cs="Times New Roman"/>
          <w:sz w:val="24"/>
          <w:szCs w:val="24"/>
        </w:rPr>
        <w:t xml:space="preserve"> -2.3</w:t>
      </w:r>
      <w:r w:rsidR="0092393D">
        <w:rPr>
          <w:rFonts w:ascii="Times New Roman" w:hAnsi="Times New Roman" w:cs="Times New Roman"/>
          <w:sz w:val="24"/>
          <w:szCs w:val="24"/>
        </w:rPr>
        <w:t>9</w:t>
      </w:r>
      <w:r w:rsidR="00F2409F" w:rsidRPr="00B7577B">
        <w:rPr>
          <w:rFonts w:ascii="Times New Roman" w:hAnsi="Times New Roman" w:cs="Times New Roman"/>
          <w:sz w:val="24"/>
          <w:szCs w:val="24"/>
        </w:rPr>
        <w:t xml:space="preserve">, </w:t>
      </w:r>
      <w:r w:rsidR="00F2409F" w:rsidRPr="00B7577B">
        <w:rPr>
          <w:rFonts w:ascii="Times New Roman" w:hAnsi="Times New Roman" w:cs="Times New Roman"/>
          <w:i/>
          <w:sz w:val="24"/>
          <w:szCs w:val="24"/>
        </w:rPr>
        <w:t>p</w:t>
      </w:r>
      <w:r w:rsidR="0092393D">
        <w:rPr>
          <w:rFonts w:ascii="Times New Roman" w:hAnsi="Times New Roman" w:cs="Times New Roman"/>
          <w:sz w:val="24"/>
          <w:szCs w:val="24"/>
        </w:rPr>
        <w:t xml:space="preserve"> = .041</w:t>
      </w:r>
      <w:r w:rsidR="00F2409F" w:rsidRPr="00B757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5257" w:rsidRPr="00565257" w:rsidRDefault="006375D1" w:rsidP="00565257">
      <w:r w:rsidRPr="002A475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40005</wp:posOffset>
            </wp:positionV>
            <wp:extent cx="4638675" cy="28765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65257" w:rsidRPr="00565257" w:rsidRDefault="00565257" w:rsidP="00565257"/>
    <w:p w:rsidR="00565257" w:rsidRPr="00565257" w:rsidRDefault="00565257" w:rsidP="00565257"/>
    <w:p w:rsidR="00565257" w:rsidRPr="00565257" w:rsidRDefault="00565257" w:rsidP="00565257"/>
    <w:p w:rsidR="00565257" w:rsidRPr="00565257" w:rsidRDefault="00565257" w:rsidP="00565257"/>
    <w:p w:rsidR="00565257" w:rsidRPr="00565257" w:rsidRDefault="00565257" w:rsidP="00565257"/>
    <w:p w:rsidR="00565257" w:rsidRPr="00565257" w:rsidRDefault="00565257" w:rsidP="00565257"/>
    <w:p w:rsidR="00565257" w:rsidRPr="00565257" w:rsidRDefault="00565257" w:rsidP="00565257"/>
    <w:p w:rsidR="00565257" w:rsidRDefault="00565257" w:rsidP="00565257"/>
    <w:p w:rsidR="007A4CE7" w:rsidRDefault="007A4CE7" w:rsidP="00565257"/>
    <w:p w:rsidR="008B55E5" w:rsidRDefault="00276C42" w:rsidP="00276C42">
      <w:pPr>
        <w:rPr>
          <w:rFonts w:ascii="Times New Roman" w:hAnsi="Times New Roman" w:cs="Times New Roman"/>
          <w:sz w:val="24"/>
          <w:szCs w:val="24"/>
        </w:rPr>
      </w:pPr>
      <w:r w:rsidRPr="00276C42">
        <w:rPr>
          <w:rFonts w:ascii="Times New Roman" w:hAnsi="Times New Roman" w:cs="Times New Roman"/>
          <w:i/>
          <w:sz w:val="24"/>
          <w:szCs w:val="24"/>
        </w:rPr>
        <w:t>Figure 4</w:t>
      </w:r>
      <w:r w:rsidRPr="00276C42">
        <w:rPr>
          <w:rFonts w:ascii="Times New Roman" w:hAnsi="Times New Roman" w:cs="Times New Roman"/>
          <w:sz w:val="24"/>
          <w:szCs w:val="24"/>
        </w:rPr>
        <w:t>.</w:t>
      </w:r>
      <w:r w:rsidR="00565257" w:rsidRPr="00276C42">
        <w:rPr>
          <w:rFonts w:ascii="Times New Roman" w:hAnsi="Times New Roman" w:cs="Times New Roman"/>
          <w:sz w:val="24"/>
          <w:szCs w:val="24"/>
        </w:rPr>
        <w:t xml:space="preserve"> Mean transformed scores for each of the four domains measured by the WHOQOL</w:t>
      </w:r>
      <w:r w:rsidR="00F45FF7" w:rsidRPr="00276C42">
        <w:rPr>
          <w:rFonts w:ascii="Times New Roman" w:hAnsi="Times New Roman" w:cs="Times New Roman"/>
          <w:sz w:val="24"/>
          <w:szCs w:val="24"/>
        </w:rPr>
        <w:t>-BREF before and after mindfulness training.</w:t>
      </w:r>
      <w:r w:rsidR="007A4CE7">
        <w:rPr>
          <w:rFonts w:ascii="Times New Roman" w:hAnsi="Times New Roman" w:cs="Times New Roman"/>
          <w:sz w:val="24"/>
          <w:szCs w:val="24"/>
        </w:rPr>
        <w:t xml:space="preserve"> Asterisk denotes significant difference.</w:t>
      </w:r>
    </w:p>
    <w:p w:rsidR="0021632C" w:rsidRDefault="0021632C" w:rsidP="00276C42">
      <w:pPr>
        <w:rPr>
          <w:rFonts w:ascii="Times New Roman" w:hAnsi="Times New Roman" w:cs="Times New Roman"/>
          <w:sz w:val="24"/>
          <w:szCs w:val="24"/>
        </w:rPr>
      </w:pPr>
    </w:p>
    <w:p w:rsidR="00F07CE7" w:rsidRDefault="00F07CE7" w:rsidP="002163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453380">
        <w:rPr>
          <w:rFonts w:ascii="Times New Roman" w:hAnsi="Times New Roman" w:cs="Times New Roman"/>
          <w:sz w:val="24"/>
          <w:szCs w:val="24"/>
        </w:rPr>
        <w:t>improvements</w:t>
      </w:r>
      <w:r>
        <w:rPr>
          <w:rFonts w:ascii="Times New Roman" w:hAnsi="Times New Roman" w:cs="Times New Roman"/>
          <w:sz w:val="24"/>
          <w:szCs w:val="24"/>
        </w:rPr>
        <w:t xml:space="preserve"> in participants’ general rating of quality of life</w:t>
      </w:r>
      <w:r w:rsidR="0021632C">
        <w:rPr>
          <w:rFonts w:ascii="Times New Roman" w:hAnsi="Times New Roman" w:cs="Times New Roman"/>
          <w:sz w:val="24"/>
          <w:szCs w:val="24"/>
        </w:rPr>
        <w:t>,</w:t>
      </w:r>
      <w:r w:rsidR="0021632C" w:rsidRPr="00216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32C" w:rsidRPr="001E3977">
        <w:rPr>
          <w:rFonts w:ascii="Times New Roman" w:hAnsi="Times New Roman" w:cs="Times New Roman"/>
          <w:i/>
          <w:sz w:val="24"/>
          <w:szCs w:val="24"/>
        </w:rPr>
        <w:t>t</w:t>
      </w:r>
      <w:r w:rsidR="0021632C">
        <w:rPr>
          <w:rFonts w:ascii="Times New Roman" w:hAnsi="Times New Roman" w:cs="Times New Roman"/>
          <w:sz w:val="24"/>
          <w:szCs w:val="24"/>
        </w:rPr>
        <w:t xml:space="preserve">(9) = -4.58, </w:t>
      </w:r>
      <w:r w:rsidR="0021632C" w:rsidRPr="001E3977">
        <w:rPr>
          <w:rFonts w:ascii="Times New Roman" w:hAnsi="Times New Roman" w:cs="Times New Roman"/>
          <w:i/>
          <w:sz w:val="24"/>
          <w:szCs w:val="24"/>
        </w:rPr>
        <w:t>p</w:t>
      </w:r>
      <w:r w:rsidR="0021632C">
        <w:rPr>
          <w:rFonts w:ascii="Times New Roman" w:hAnsi="Times New Roman" w:cs="Times New Roman"/>
          <w:sz w:val="24"/>
          <w:szCs w:val="24"/>
        </w:rPr>
        <w:t xml:space="preserve"> = .001,</w:t>
      </w:r>
      <w:r>
        <w:rPr>
          <w:rFonts w:ascii="Times New Roman" w:hAnsi="Times New Roman" w:cs="Times New Roman"/>
          <w:sz w:val="24"/>
          <w:szCs w:val="24"/>
        </w:rPr>
        <w:t xml:space="preserve"> and health</w:t>
      </w:r>
      <w:r w:rsidR="0021632C" w:rsidRPr="00216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32C" w:rsidRPr="001E3977">
        <w:rPr>
          <w:rFonts w:ascii="Times New Roman" w:hAnsi="Times New Roman" w:cs="Times New Roman"/>
          <w:i/>
          <w:sz w:val="24"/>
          <w:szCs w:val="24"/>
        </w:rPr>
        <w:t>t</w:t>
      </w:r>
      <w:r w:rsidR="0021632C">
        <w:rPr>
          <w:rFonts w:ascii="Times New Roman" w:hAnsi="Times New Roman" w:cs="Times New Roman"/>
          <w:sz w:val="24"/>
          <w:szCs w:val="24"/>
        </w:rPr>
        <w:t xml:space="preserve">(9) = -2.71, </w:t>
      </w:r>
      <w:r w:rsidR="0021632C" w:rsidRPr="001E3977">
        <w:rPr>
          <w:rFonts w:ascii="Times New Roman" w:hAnsi="Times New Roman" w:cs="Times New Roman"/>
          <w:i/>
          <w:sz w:val="24"/>
          <w:szCs w:val="24"/>
        </w:rPr>
        <w:t>p</w:t>
      </w:r>
      <w:r w:rsidR="0021632C">
        <w:rPr>
          <w:rFonts w:ascii="Times New Roman" w:hAnsi="Times New Roman" w:cs="Times New Roman"/>
          <w:sz w:val="24"/>
          <w:szCs w:val="24"/>
        </w:rPr>
        <w:t xml:space="preserve"> = .024</w:t>
      </w:r>
      <w:r>
        <w:rPr>
          <w:rFonts w:ascii="Times New Roman" w:hAnsi="Times New Roman" w:cs="Times New Roman"/>
          <w:sz w:val="24"/>
          <w:szCs w:val="24"/>
        </w:rPr>
        <w:t>, as measured by the WHOQOL-BREF</w:t>
      </w:r>
      <w:r w:rsidR="00542979">
        <w:rPr>
          <w:rFonts w:ascii="Times New Roman" w:hAnsi="Times New Roman" w:cs="Times New Roman"/>
          <w:sz w:val="24"/>
          <w:szCs w:val="24"/>
        </w:rPr>
        <w:t xml:space="preserve"> (The WHOQOL Group, 1998)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45338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observed.</w:t>
      </w:r>
    </w:p>
    <w:p w:rsidR="00322598" w:rsidRDefault="008130AB" w:rsidP="005B592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30AB">
        <w:rPr>
          <w:noProof/>
          <w:lang w:eastAsia="en-GB"/>
        </w:rPr>
        <w:lastRenderedPageBreak/>
        <w:drawing>
          <wp:inline distT="0" distB="0" distL="0" distR="0">
            <wp:extent cx="4572000" cy="2743200"/>
            <wp:effectExtent l="0" t="0" r="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193F" w:rsidRDefault="00322598" w:rsidP="003225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5. Mean ratings on items 1 and 2 of the WHOQOL-BREF.</w:t>
      </w:r>
      <w:r w:rsidR="0080676A">
        <w:rPr>
          <w:rFonts w:ascii="Times New Roman" w:hAnsi="Times New Roman" w:cs="Times New Roman"/>
          <w:sz w:val="24"/>
          <w:szCs w:val="24"/>
        </w:rPr>
        <w:t xml:space="preserve"> Error bars denote the standard deviation.</w:t>
      </w:r>
    </w:p>
    <w:p w:rsidR="00FB22BB" w:rsidRDefault="006F7080" w:rsidP="00EC23B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paired-samples t-test indicated a significant d</w:t>
      </w:r>
      <w:r w:rsidR="00453380">
        <w:rPr>
          <w:rFonts w:ascii="Times New Roman" w:hAnsi="Times New Roman" w:cs="Times New Roman"/>
          <w:sz w:val="24"/>
          <w:szCs w:val="24"/>
        </w:rPr>
        <w:t>ecrease</w:t>
      </w:r>
      <w:r>
        <w:rPr>
          <w:rFonts w:ascii="Times New Roman" w:hAnsi="Times New Roman" w:cs="Times New Roman"/>
          <w:sz w:val="24"/>
          <w:szCs w:val="24"/>
        </w:rPr>
        <w:t xml:space="preserve"> in participants’ ratings of stress before (</w:t>
      </w:r>
      <w:r w:rsidRPr="005861B2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14A5D">
        <w:rPr>
          <w:rFonts w:ascii="Times New Roman" w:hAnsi="Times New Roman" w:cs="Times New Roman"/>
          <w:sz w:val="24"/>
          <w:szCs w:val="24"/>
        </w:rPr>
        <w:t>21.80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1B2"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14A5D">
        <w:rPr>
          <w:rFonts w:ascii="Times New Roman" w:hAnsi="Times New Roman" w:cs="Times New Roman"/>
          <w:sz w:val="24"/>
          <w:szCs w:val="24"/>
        </w:rPr>
        <w:t>5.75</w:t>
      </w:r>
      <w:r>
        <w:rPr>
          <w:rFonts w:ascii="Times New Roman" w:hAnsi="Times New Roman" w:cs="Times New Roman"/>
          <w:sz w:val="24"/>
          <w:szCs w:val="24"/>
        </w:rPr>
        <w:t>) and after (</w:t>
      </w:r>
      <w:r w:rsidRPr="005861B2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14A5D">
        <w:rPr>
          <w:rFonts w:ascii="Times New Roman" w:hAnsi="Times New Roman" w:cs="Times New Roman"/>
          <w:sz w:val="24"/>
          <w:szCs w:val="24"/>
        </w:rPr>
        <w:t>13.70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CCE"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5.</w:t>
      </w:r>
      <w:r w:rsidR="00214A5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) completing the course, as measured by the PSS</w:t>
      </w:r>
      <w:r w:rsidR="00484884">
        <w:rPr>
          <w:rFonts w:ascii="Times New Roman" w:hAnsi="Times New Roman" w:cs="Times New Roman"/>
          <w:sz w:val="24"/>
          <w:szCs w:val="24"/>
        </w:rPr>
        <w:t xml:space="preserve"> (Cohen &amp; Williamson, 1988)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977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(9) =</w:t>
      </w:r>
      <w:r w:rsidR="00B32B10">
        <w:rPr>
          <w:rFonts w:ascii="Times New Roman" w:hAnsi="Times New Roman" w:cs="Times New Roman"/>
          <w:sz w:val="24"/>
          <w:szCs w:val="24"/>
        </w:rPr>
        <w:t xml:space="preserve"> 4.16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3977">
        <w:rPr>
          <w:rFonts w:ascii="Times New Roman" w:hAnsi="Times New Roman" w:cs="Times New Roman"/>
          <w:i/>
          <w:sz w:val="24"/>
          <w:szCs w:val="24"/>
        </w:rPr>
        <w:t>p</w:t>
      </w:r>
      <w:r w:rsidR="00B32B10">
        <w:rPr>
          <w:rFonts w:ascii="Times New Roman" w:hAnsi="Times New Roman" w:cs="Times New Roman"/>
          <w:sz w:val="24"/>
          <w:szCs w:val="24"/>
        </w:rPr>
        <w:t xml:space="preserve"> = .002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400" w:rsidRDefault="00C24400" w:rsidP="00EC23B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AE0" w:rsidRDefault="007F6AF3" w:rsidP="007C3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AF3">
        <w:rPr>
          <w:noProof/>
          <w:lang w:eastAsia="en-GB"/>
        </w:rPr>
        <w:drawing>
          <wp:inline distT="0" distB="0" distL="0" distR="0">
            <wp:extent cx="3124200" cy="2209800"/>
            <wp:effectExtent l="0" t="0" r="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552" w:rsidRDefault="00D70552" w:rsidP="002E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2E31BE">
        <w:rPr>
          <w:rFonts w:ascii="Times New Roman" w:hAnsi="Times New Roman" w:cs="Times New Roman"/>
          <w:sz w:val="24"/>
          <w:szCs w:val="24"/>
        </w:rPr>
        <w:t>6. Mean PSS Scores before and after mindfulness training.</w:t>
      </w:r>
      <w:r w:rsidR="008130AB">
        <w:rPr>
          <w:rFonts w:ascii="Times New Roman" w:hAnsi="Times New Roman" w:cs="Times New Roman"/>
          <w:sz w:val="24"/>
          <w:szCs w:val="24"/>
        </w:rPr>
        <w:t xml:space="preserve"> Error bars denote the standard deviation.</w:t>
      </w:r>
    </w:p>
    <w:p w:rsidR="005C5779" w:rsidRDefault="00316671" w:rsidP="005C577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summary, the mindfulness training resulted in positive changes in self-reports on all four measures.</w:t>
      </w:r>
    </w:p>
    <w:p w:rsidR="00014267" w:rsidRPr="00D57B26" w:rsidRDefault="00D70552" w:rsidP="005C5779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26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:rsidR="005C5779" w:rsidRDefault="00BD76CE" w:rsidP="005C5779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53380">
        <w:rPr>
          <w:rFonts w:ascii="Times New Roman" w:hAnsi="Times New Roman" w:cs="Times New Roman"/>
          <w:sz w:val="24"/>
          <w:szCs w:val="24"/>
        </w:rPr>
        <w:t>findings of this study indicate</w:t>
      </w:r>
      <w:r w:rsidR="00FC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mindfulness training can have a positive impact on well-being in the workplace</w:t>
      </w:r>
      <w:r w:rsidR="00453380">
        <w:rPr>
          <w:rFonts w:ascii="Times New Roman" w:hAnsi="Times New Roman" w:cs="Times New Roman"/>
          <w:sz w:val="24"/>
          <w:szCs w:val="24"/>
        </w:rPr>
        <w:t xml:space="preserve"> context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7385">
        <w:rPr>
          <w:rFonts w:ascii="Times New Roman" w:hAnsi="Times New Roman" w:cs="Times New Roman"/>
          <w:sz w:val="24"/>
          <w:szCs w:val="24"/>
        </w:rPr>
        <w:t xml:space="preserve"> After completing </w:t>
      </w:r>
      <w:r w:rsidR="00453380">
        <w:rPr>
          <w:rFonts w:ascii="Times New Roman" w:hAnsi="Times New Roman" w:cs="Times New Roman"/>
          <w:sz w:val="24"/>
          <w:szCs w:val="24"/>
        </w:rPr>
        <w:t>the</w:t>
      </w:r>
      <w:r w:rsidR="00D27385">
        <w:rPr>
          <w:rFonts w:ascii="Times New Roman" w:hAnsi="Times New Roman" w:cs="Times New Roman"/>
          <w:sz w:val="24"/>
          <w:szCs w:val="24"/>
        </w:rPr>
        <w:t xml:space="preserve"> MBSR</w:t>
      </w:r>
      <w:r w:rsidR="00453380">
        <w:rPr>
          <w:rFonts w:ascii="Times New Roman" w:hAnsi="Times New Roman" w:cs="Times New Roman"/>
          <w:sz w:val="24"/>
          <w:szCs w:val="24"/>
        </w:rPr>
        <w:t xml:space="preserve"> course</w:t>
      </w:r>
      <w:r w:rsidR="00D27385">
        <w:rPr>
          <w:rFonts w:ascii="Times New Roman" w:hAnsi="Times New Roman" w:cs="Times New Roman"/>
          <w:sz w:val="24"/>
          <w:szCs w:val="24"/>
        </w:rPr>
        <w:t xml:space="preserve">, the </w:t>
      </w:r>
      <w:r w:rsidR="00453380">
        <w:rPr>
          <w:rFonts w:ascii="Times New Roman" w:hAnsi="Times New Roman" w:cs="Times New Roman"/>
          <w:sz w:val="24"/>
          <w:szCs w:val="24"/>
        </w:rPr>
        <w:t>employees</w:t>
      </w:r>
      <w:r w:rsidR="00D27385">
        <w:rPr>
          <w:rFonts w:ascii="Times New Roman" w:hAnsi="Times New Roman" w:cs="Times New Roman"/>
          <w:sz w:val="24"/>
          <w:szCs w:val="24"/>
        </w:rPr>
        <w:t xml:space="preserve"> reported increased well-being, </w:t>
      </w:r>
      <w:r w:rsidR="00316671">
        <w:rPr>
          <w:rFonts w:ascii="Times New Roman" w:hAnsi="Times New Roman" w:cs="Times New Roman"/>
          <w:sz w:val="24"/>
          <w:szCs w:val="24"/>
        </w:rPr>
        <w:t>higher levels of mindfulness, better</w:t>
      </w:r>
      <w:r w:rsidR="00D27385">
        <w:rPr>
          <w:rFonts w:ascii="Times New Roman" w:hAnsi="Times New Roman" w:cs="Times New Roman"/>
          <w:sz w:val="24"/>
          <w:szCs w:val="24"/>
        </w:rPr>
        <w:t xml:space="preserve"> qualit</w:t>
      </w:r>
      <w:r w:rsidR="00316671">
        <w:rPr>
          <w:rFonts w:ascii="Times New Roman" w:hAnsi="Times New Roman" w:cs="Times New Roman"/>
          <w:sz w:val="24"/>
          <w:szCs w:val="24"/>
        </w:rPr>
        <w:t>y of life, and less perceived stress</w:t>
      </w:r>
      <w:r w:rsidR="00D27385">
        <w:rPr>
          <w:rFonts w:ascii="Times New Roman" w:hAnsi="Times New Roman" w:cs="Times New Roman"/>
          <w:sz w:val="24"/>
          <w:szCs w:val="24"/>
        </w:rPr>
        <w:t>.</w:t>
      </w:r>
      <w:r w:rsidR="00D778A9">
        <w:rPr>
          <w:rFonts w:ascii="Times New Roman" w:hAnsi="Times New Roman" w:cs="Times New Roman"/>
          <w:sz w:val="24"/>
          <w:szCs w:val="24"/>
        </w:rPr>
        <w:t xml:space="preserve"> These positive outcomes are not only personally beneficial, but could be beneficial to employers, with employees taking less time off due to sickness</w:t>
      </w:r>
      <w:r w:rsidR="00453380">
        <w:rPr>
          <w:rFonts w:ascii="Times New Roman" w:hAnsi="Times New Roman" w:cs="Times New Roman"/>
          <w:sz w:val="24"/>
          <w:szCs w:val="24"/>
        </w:rPr>
        <w:t xml:space="preserve"> (to be assessed in future studies)</w:t>
      </w:r>
      <w:r w:rsidR="00316671">
        <w:rPr>
          <w:rFonts w:ascii="Times New Roman" w:hAnsi="Times New Roman" w:cs="Times New Roman"/>
          <w:sz w:val="24"/>
          <w:szCs w:val="24"/>
        </w:rPr>
        <w:t xml:space="preserve"> </w:t>
      </w:r>
      <w:r w:rsidR="00D778A9">
        <w:rPr>
          <w:rFonts w:ascii="Times New Roman" w:hAnsi="Times New Roman" w:cs="Times New Roman"/>
          <w:sz w:val="24"/>
          <w:szCs w:val="24"/>
        </w:rPr>
        <w:t xml:space="preserve">, and to clients, for whom effective support is vital. </w:t>
      </w:r>
    </w:p>
    <w:p w:rsidR="00CC0055" w:rsidRDefault="00CC0055" w:rsidP="00CC0055">
      <w:pPr>
        <w:rPr>
          <w:rFonts w:ascii="Times New Roman" w:hAnsi="Times New Roman" w:cs="Times New Roman"/>
          <w:sz w:val="24"/>
          <w:szCs w:val="24"/>
        </w:rPr>
      </w:pPr>
    </w:p>
    <w:p w:rsidR="00043CFD" w:rsidRDefault="00043CFD" w:rsidP="00043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F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25585" w:rsidRDefault="00447A56" w:rsidP="00E22BC0">
      <w:pPr>
        <w:spacing w:line="480" w:lineRule="auto"/>
        <w:ind w:left="720" w:hanging="720"/>
        <w:contextualSpacing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525585" w:rsidRPr="00DF55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Baer, R. A., Smith, G. T., Hopkins, J., Krietemeyer, J., &amp; Toney, L. (2006)</w:t>
        </w:r>
      </w:hyperlink>
      <w:r w:rsidR="0017062B" w:rsidRPr="00DF550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. Using self-report assessment </w:t>
      </w:r>
      <w:r w:rsidR="00525585" w:rsidRPr="00DF550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methods to</w:t>
      </w:r>
      <w:r w:rsidR="00835151" w:rsidRPr="00DF550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explore facets of mindfulness. </w:t>
      </w:r>
      <w:r w:rsidR="00525585" w:rsidRPr="00DF550F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Assessment</w:t>
      </w:r>
      <w:r w:rsidR="00525585" w:rsidRPr="00DF550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5585" w:rsidRPr="00DF550F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13</w:t>
      </w:r>
      <w:r w:rsidR="00525585" w:rsidRPr="00DF550F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27-45.</w:t>
      </w:r>
    </w:p>
    <w:p w:rsidR="00E22BC0" w:rsidRPr="00DF550F" w:rsidRDefault="00E22BC0" w:rsidP="00E22BC0">
      <w:pPr>
        <w:spacing w:line="48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50F">
        <w:rPr>
          <w:rFonts w:ascii="Times New Roman" w:eastAsia="Calibri" w:hAnsi="Times New Roman" w:cs="Times New Roman"/>
          <w:sz w:val="24"/>
          <w:szCs w:val="24"/>
        </w:rPr>
        <w:t xml:space="preserve">Cohen, S., &amp; Williamson, G. (1988). </w:t>
      </w:r>
      <w:r w:rsidRPr="00CD6331">
        <w:rPr>
          <w:rFonts w:ascii="Times New Roman" w:eastAsia="Calibri" w:hAnsi="Times New Roman" w:cs="Times New Roman"/>
          <w:sz w:val="24"/>
          <w:szCs w:val="24"/>
        </w:rPr>
        <w:t>Perceived stress in a probability sample of the United States</w:t>
      </w:r>
      <w:r w:rsidRPr="00DF550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D6331">
        <w:rPr>
          <w:rFonts w:ascii="Times New Roman" w:eastAsia="Calibri" w:hAnsi="Times New Roman" w:cs="Times New Roman"/>
          <w:sz w:val="24"/>
          <w:szCs w:val="24"/>
        </w:rPr>
        <w:t>In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550F">
        <w:rPr>
          <w:rFonts w:ascii="Times New Roman" w:eastAsia="Calibri" w:hAnsi="Times New Roman" w:cs="Times New Roman"/>
          <w:i/>
          <w:sz w:val="24"/>
          <w:szCs w:val="24"/>
        </w:rPr>
        <w:t>The social psychology of health: Claremont symposium on applied social psychology</w:t>
      </w:r>
      <w:r w:rsidRPr="00DF550F">
        <w:rPr>
          <w:rFonts w:ascii="Times New Roman" w:eastAsia="Calibri" w:hAnsi="Times New Roman" w:cs="Times New Roman"/>
          <w:sz w:val="24"/>
          <w:szCs w:val="24"/>
        </w:rPr>
        <w:t>. Newbury Park, CA: Sage.</w:t>
      </w:r>
    </w:p>
    <w:p w:rsidR="00043CFD" w:rsidRPr="00043CFD" w:rsidRDefault="00043CFD" w:rsidP="00E22BC0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3CFD">
        <w:rPr>
          <w:rFonts w:ascii="Times New Roman" w:eastAsia="Times New Roman" w:hAnsi="Times New Roman" w:cs="Times New Roman"/>
          <w:sz w:val="24"/>
          <w:szCs w:val="24"/>
          <w:lang w:eastAsia="en-GB"/>
        </w:rPr>
        <w:t>Tennant, R., Hiller, L.,</w:t>
      </w:r>
      <w:r w:rsidRPr="00DF55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43CFD">
        <w:rPr>
          <w:rFonts w:ascii="Times New Roman" w:eastAsia="Times New Roman" w:hAnsi="Times New Roman" w:cs="Times New Roman"/>
          <w:sz w:val="24"/>
          <w:szCs w:val="24"/>
          <w:lang w:eastAsia="en-GB"/>
        </w:rPr>
        <w:t>Fishwick, R., Platt, S., Joseph, S., Weich, S., Parkinson, J., Secker, J., &amp; Stewart-Brown, S. (2007). The Warwick</w:t>
      </w:r>
      <w:r w:rsidRPr="00DF550F">
        <w:rPr>
          <w:rFonts w:ascii="Times New Roman" w:eastAsia="Times New Roman" w:hAnsi="Times New Roman" w:cs="Times New Roman"/>
          <w:sz w:val="24"/>
          <w:szCs w:val="24"/>
          <w:lang w:eastAsia="en-GB"/>
        </w:rPr>
        <w:t>-Edin</w:t>
      </w:r>
      <w:r w:rsidRPr="00043CFD">
        <w:rPr>
          <w:rFonts w:ascii="Times New Roman" w:eastAsia="Times New Roman" w:hAnsi="Times New Roman" w:cs="Times New Roman"/>
          <w:sz w:val="24"/>
          <w:szCs w:val="24"/>
          <w:lang w:eastAsia="en-GB"/>
        </w:rPr>
        <w:t>burgh Mental Well-Being Scale</w:t>
      </w:r>
      <w:r w:rsidRPr="00DF55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43CFD">
        <w:rPr>
          <w:rFonts w:ascii="Times New Roman" w:eastAsia="Times New Roman" w:hAnsi="Times New Roman" w:cs="Times New Roman"/>
          <w:sz w:val="24"/>
          <w:szCs w:val="24"/>
          <w:lang w:eastAsia="en-GB"/>
        </w:rPr>
        <w:t>(WEMWBS)</w:t>
      </w:r>
      <w:r w:rsidRPr="00DF550F">
        <w:rPr>
          <w:rFonts w:ascii="Times New Roman" w:eastAsia="Times New Roman" w:hAnsi="Times New Roman" w:cs="Times New Roman"/>
          <w:sz w:val="24"/>
          <w:szCs w:val="24"/>
          <w:lang w:eastAsia="en-GB"/>
        </w:rPr>
        <w:t>: development and UK validation.</w:t>
      </w:r>
      <w:r w:rsidRPr="00043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43CF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Health and Quality of Life Outcomes</w:t>
      </w:r>
      <w:r w:rsidR="00835151" w:rsidRPr="00DF55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35151" w:rsidRPr="00DF550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5</w:t>
      </w:r>
      <w:r w:rsidRPr="00043CF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DF55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43CFD">
        <w:rPr>
          <w:rFonts w:ascii="Times New Roman" w:eastAsia="Times New Roman" w:hAnsi="Times New Roman" w:cs="Times New Roman"/>
          <w:sz w:val="24"/>
          <w:szCs w:val="24"/>
          <w:lang w:eastAsia="en-GB"/>
        </w:rPr>
        <w:t>63.</w:t>
      </w:r>
    </w:p>
    <w:p w:rsidR="008E7552" w:rsidRPr="00DF550F" w:rsidRDefault="00835151" w:rsidP="00E22BC0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F550F">
        <w:rPr>
          <w:rFonts w:ascii="Times New Roman" w:hAnsi="Times New Roman" w:cs="Times New Roman"/>
          <w:sz w:val="24"/>
          <w:szCs w:val="24"/>
        </w:rPr>
        <w:t xml:space="preserve">The </w:t>
      </w:r>
      <w:r w:rsidR="008E7552" w:rsidRPr="00DF550F">
        <w:rPr>
          <w:rFonts w:ascii="Times New Roman" w:hAnsi="Times New Roman" w:cs="Times New Roman"/>
          <w:sz w:val="24"/>
          <w:szCs w:val="24"/>
        </w:rPr>
        <w:t>WHOQOL Group</w:t>
      </w:r>
      <w:r w:rsidRPr="00DF550F">
        <w:rPr>
          <w:rFonts w:ascii="Times New Roman" w:hAnsi="Times New Roman" w:cs="Times New Roman"/>
          <w:sz w:val="24"/>
          <w:szCs w:val="24"/>
        </w:rPr>
        <w:t>, (1998)</w:t>
      </w:r>
      <w:r w:rsidR="008E7552" w:rsidRPr="00DF550F">
        <w:rPr>
          <w:rFonts w:ascii="Times New Roman" w:hAnsi="Times New Roman" w:cs="Times New Roman"/>
          <w:sz w:val="24"/>
          <w:szCs w:val="24"/>
        </w:rPr>
        <w:t xml:space="preserve">. Development of the World Health Organization WHOQOL-BREF quality </w:t>
      </w:r>
      <w:r w:rsidRPr="00DF550F">
        <w:rPr>
          <w:rFonts w:ascii="Times New Roman" w:hAnsi="Times New Roman" w:cs="Times New Roman"/>
          <w:sz w:val="24"/>
          <w:szCs w:val="24"/>
        </w:rPr>
        <w:t xml:space="preserve">of life assessment. </w:t>
      </w:r>
      <w:r w:rsidRPr="00DF550F">
        <w:rPr>
          <w:rFonts w:ascii="Times New Roman" w:hAnsi="Times New Roman" w:cs="Times New Roman"/>
          <w:i/>
          <w:sz w:val="24"/>
          <w:szCs w:val="24"/>
        </w:rPr>
        <w:t>Psychol</w:t>
      </w:r>
      <w:r w:rsidR="00DF550F" w:rsidRPr="00DF550F">
        <w:rPr>
          <w:rFonts w:ascii="Times New Roman" w:hAnsi="Times New Roman" w:cs="Times New Roman"/>
          <w:i/>
          <w:sz w:val="24"/>
          <w:szCs w:val="24"/>
        </w:rPr>
        <w:t>ogical</w:t>
      </w:r>
      <w:r w:rsidRPr="00DF550F">
        <w:rPr>
          <w:rFonts w:ascii="Times New Roman" w:hAnsi="Times New Roman" w:cs="Times New Roman"/>
          <w:i/>
          <w:sz w:val="24"/>
          <w:szCs w:val="24"/>
        </w:rPr>
        <w:t xml:space="preserve"> Med</w:t>
      </w:r>
      <w:r w:rsidR="00DF550F" w:rsidRPr="00DF550F">
        <w:rPr>
          <w:rFonts w:ascii="Times New Roman" w:hAnsi="Times New Roman" w:cs="Times New Roman"/>
          <w:i/>
          <w:sz w:val="24"/>
          <w:szCs w:val="24"/>
        </w:rPr>
        <w:t>icine</w:t>
      </w:r>
      <w:r w:rsidRPr="00DF550F">
        <w:rPr>
          <w:rFonts w:ascii="Times New Roman" w:hAnsi="Times New Roman" w:cs="Times New Roman"/>
          <w:sz w:val="24"/>
          <w:szCs w:val="24"/>
        </w:rPr>
        <w:t xml:space="preserve">, </w:t>
      </w:r>
      <w:r w:rsidRPr="00DF550F">
        <w:rPr>
          <w:rFonts w:ascii="Times New Roman" w:hAnsi="Times New Roman" w:cs="Times New Roman"/>
          <w:i/>
          <w:sz w:val="24"/>
          <w:szCs w:val="24"/>
        </w:rPr>
        <w:t>28</w:t>
      </w:r>
      <w:r w:rsidRPr="00DF550F">
        <w:rPr>
          <w:rFonts w:ascii="Times New Roman" w:hAnsi="Times New Roman" w:cs="Times New Roman"/>
          <w:sz w:val="24"/>
          <w:szCs w:val="24"/>
        </w:rPr>
        <w:t xml:space="preserve">, </w:t>
      </w:r>
      <w:r w:rsidR="008E7552" w:rsidRPr="00DF550F">
        <w:rPr>
          <w:rFonts w:ascii="Times New Roman" w:hAnsi="Times New Roman" w:cs="Times New Roman"/>
          <w:sz w:val="24"/>
          <w:szCs w:val="24"/>
        </w:rPr>
        <w:t>551-558.</w:t>
      </w:r>
    </w:p>
    <w:sectPr w:rsidR="008E7552" w:rsidRPr="00DF550F" w:rsidSect="00E3500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56" w:rsidRDefault="00447A56" w:rsidP="00565257">
      <w:pPr>
        <w:spacing w:after="0" w:line="240" w:lineRule="auto"/>
      </w:pPr>
      <w:r>
        <w:separator/>
      </w:r>
    </w:p>
  </w:endnote>
  <w:endnote w:type="continuationSeparator" w:id="0">
    <w:p w:rsidR="00447A56" w:rsidRDefault="00447A56" w:rsidP="005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207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B79" w:rsidRDefault="00E35000">
        <w:pPr>
          <w:pStyle w:val="Footer"/>
          <w:jc w:val="right"/>
        </w:pPr>
        <w:r>
          <w:fldChar w:fldCharType="begin"/>
        </w:r>
        <w:r w:rsidR="00784B79">
          <w:instrText xml:space="preserve"> PAGE   \* MERGEFORMAT </w:instrText>
        </w:r>
        <w:r>
          <w:fldChar w:fldCharType="separate"/>
        </w:r>
        <w:r w:rsidR="004A2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B79" w:rsidRDefault="00332D2F">
    <w:pPr>
      <w:pStyle w:val="Footer"/>
    </w:pPr>
    <w:r>
      <w:t>© Centre for Mindfulness Research and Practice, Bangor, UK 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56" w:rsidRDefault="00447A56" w:rsidP="00565257">
      <w:pPr>
        <w:spacing w:after="0" w:line="240" w:lineRule="auto"/>
      </w:pPr>
      <w:r>
        <w:separator/>
      </w:r>
    </w:p>
  </w:footnote>
  <w:footnote w:type="continuationSeparator" w:id="0">
    <w:p w:rsidR="00447A56" w:rsidRDefault="00447A56" w:rsidP="0056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257"/>
    <w:rsid w:val="00001662"/>
    <w:rsid w:val="00014267"/>
    <w:rsid w:val="00030717"/>
    <w:rsid w:val="0004255E"/>
    <w:rsid w:val="00043CFD"/>
    <w:rsid w:val="0005360F"/>
    <w:rsid w:val="00067F23"/>
    <w:rsid w:val="00094C20"/>
    <w:rsid w:val="000B088E"/>
    <w:rsid w:val="000B2CF4"/>
    <w:rsid w:val="000E376E"/>
    <w:rsid w:val="00142C64"/>
    <w:rsid w:val="001508D8"/>
    <w:rsid w:val="0017062B"/>
    <w:rsid w:val="0019097E"/>
    <w:rsid w:val="001A193F"/>
    <w:rsid w:val="001D3D27"/>
    <w:rsid w:val="001D5D53"/>
    <w:rsid w:val="001E3977"/>
    <w:rsid w:val="001E5769"/>
    <w:rsid w:val="0021008C"/>
    <w:rsid w:val="00212D53"/>
    <w:rsid w:val="00214A5D"/>
    <w:rsid w:val="0021632C"/>
    <w:rsid w:val="00246039"/>
    <w:rsid w:val="00271C98"/>
    <w:rsid w:val="00275C47"/>
    <w:rsid w:val="00276C42"/>
    <w:rsid w:val="002A0055"/>
    <w:rsid w:val="002A4751"/>
    <w:rsid w:val="002B063D"/>
    <w:rsid w:val="002B256C"/>
    <w:rsid w:val="002D320B"/>
    <w:rsid w:val="002E31BE"/>
    <w:rsid w:val="002E7320"/>
    <w:rsid w:val="002F2344"/>
    <w:rsid w:val="002F644D"/>
    <w:rsid w:val="00316671"/>
    <w:rsid w:val="00322598"/>
    <w:rsid w:val="00332D2F"/>
    <w:rsid w:val="0033519F"/>
    <w:rsid w:val="0035218D"/>
    <w:rsid w:val="003A08F4"/>
    <w:rsid w:val="003A4C63"/>
    <w:rsid w:val="003A6911"/>
    <w:rsid w:val="003C49B6"/>
    <w:rsid w:val="003C63D3"/>
    <w:rsid w:val="003E1281"/>
    <w:rsid w:val="003F2EB2"/>
    <w:rsid w:val="00414305"/>
    <w:rsid w:val="00423E16"/>
    <w:rsid w:val="00447A56"/>
    <w:rsid w:val="00451DE6"/>
    <w:rsid w:val="00453380"/>
    <w:rsid w:val="00454D86"/>
    <w:rsid w:val="00477199"/>
    <w:rsid w:val="00484884"/>
    <w:rsid w:val="00485EE5"/>
    <w:rsid w:val="004A2179"/>
    <w:rsid w:val="004C6744"/>
    <w:rsid w:val="004E3C16"/>
    <w:rsid w:val="004F7459"/>
    <w:rsid w:val="00515675"/>
    <w:rsid w:val="00525585"/>
    <w:rsid w:val="00542979"/>
    <w:rsid w:val="00550E1D"/>
    <w:rsid w:val="00555D07"/>
    <w:rsid w:val="005601C8"/>
    <w:rsid w:val="00565257"/>
    <w:rsid w:val="0057142A"/>
    <w:rsid w:val="005861B2"/>
    <w:rsid w:val="005B367D"/>
    <w:rsid w:val="005B5929"/>
    <w:rsid w:val="005C5779"/>
    <w:rsid w:val="005D08BC"/>
    <w:rsid w:val="00603997"/>
    <w:rsid w:val="00610997"/>
    <w:rsid w:val="00636E4C"/>
    <w:rsid w:val="006375D1"/>
    <w:rsid w:val="006643C0"/>
    <w:rsid w:val="00684F3E"/>
    <w:rsid w:val="006A0931"/>
    <w:rsid w:val="006A613B"/>
    <w:rsid w:val="006B1DD4"/>
    <w:rsid w:val="006E26D6"/>
    <w:rsid w:val="006F7080"/>
    <w:rsid w:val="007128A3"/>
    <w:rsid w:val="00714385"/>
    <w:rsid w:val="0072125D"/>
    <w:rsid w:val="00724FB4"/>
    <w:rsid w:val="00732F29"/>
    <w:rsid w:val="007502A1"/>
    <w:rsid w:val="00754032"/>
    <w:rsid w:val="00754B53"/>
    <w:rsid w:val="00756385"/>
    <w:rsid w:val="00784B79"/>
    <w:rsid w:val="00785957"/>
    <w:rsid w:val="00796224"/>
    <w:rsid w:val="007A4CE7"/>
    <w:rsid w:val="007B368F"/>
    <w:rsid w:val="007C3AE0"/>
    <w:rsid w:val="007C5837"/>
    <w:rsid w:val="007F6AF3"/>
    <w:rsid w:val="0080676A"/>
    <w:rsid w:val="008130AB"/>
    <w:rsid w:val="00814B7D"/>
    <w:rsid w:val="00835151"/>
    <w:rsid w:val="00861A16"/>
    <w:rsid w:val="0088124F"/>
    <w:rsid w:val="008817B5"/>
    <w:rsid w:val="008A003D"/>
    <w:rsid w:val="008B55E5"/>
    <w:rsid w:val="008D713C"/>
    <w:rsid w:val="008E0792"/>
    <w:rsid w:val="008E10F3"/>
    <w:rsid w:val="008E7552"/>
    <w:rsid w:val="0091643C"/>
    <w:rsid w:val="0092393D"/>
    <w:rsid w:val="00936EB5"/>
    <w:rsid w:val="00974CCE"/>
    <w:rsid w:val="00984C4B"/>
    <w:rsid w:val="009A0620"/>
    <w:rsid w:val="009B53E8"/>
    <w:rsid w:val="009B6ED6"/>
    <w:rsid w:val="009E2AFE"/>
    <w:rsid w:val="009F3122"/>
    <w:rsid w:val="00A0371D"/>
    <w:rsid w:val="00A07A07"/>
    <w:rsid w:val="00A47153"/>
    <w:rsid w:val="00A72F65"/>
    <w:rsid w:val="00A73DDE"/>
    <w:rsid w:val="00A92899"/>
    <w:rsid w:val="00AB3CCE"/>
    <w:rsid w:val="00AD32F5"/>
    <w:rsid w:val="00AD3EC8"/>
    <w:rsid w:val="00B05253"/>
    <w:rsid w:val="00B1516F"/>
    <w:rsid w:val="00B32B10"/>
    <w:rsid w:val="00B41B2F"/>
    <w:rsid w:val="00B52F8B"/>
    <w:rsid w:val="00B549A4"/>
    <w:rsid w:val="00B57F1F"/>
    <w:rsid w:val="00B73757"/>
    <w:rsid w:val="00B7577B"/>
    <w:rsid w:val="00B9292C"/>
    <w:rsid w:val="00B95BBC"/>
    <w:rsid w:val="00BA03CF"/>
    <w:rsid w:val="00BB7199"/>
    <w:rsid w:val="00BD67B3"/>
    <w:rsid w:val="00BD6FA2"/>
    <w:rsid w:val="00BD76CE"/>
    <w:rsid w:val="00C24400"/>
    <w:rsid w:val="00C43982"/>
    <w:rsid w:val="00C66ABD"/>
    <w:rsid w:val="00C8261D"/>
    <w:rsid w:val="00C86B07"/>
    <w:rsid w:val="00CA6E93"/>
    <w:rsid w:val="00CA7ED2"/>
    <w:rsid w:val="00CB3F85"/>
    <w:rsid w:val="00CC0055"/>
    <w:rsid w:val="00CC2D3F"/>
    <w:rsid w:val="00CC3006"/>
    <w:rsid w:val="00CC702A"/>
    <w:rsid w:val="00CD6331"/>
    <w:rsid w:val="00D27385"/>
    <w:rsid w:val="00D322E9"/>
    <w:rsid w:val="00D57B26"/>
    <w:rsid w:val="00D63F4E"/>
    <w:rsid w:val="00D70552"/>
    <w:rsid w:val="00D73D08"/>
    <w:rsid w:val="00D778A9"/>
    <w:rsid w:val="00D952D3"/>
    <w:rsid w:val="00DB76C3"/>
    <w:rsid w:val="00DC55BF"/>
    <w:rsid w:val="00DD08F1"/>
    <w:rsid w:val="00DF550F"/>
    <w:rsid w:val="00E16EC8"/>
    <w:rsid w:val="00E22BC0"/>
    <w:rsid w:val="00E22CB4"/>
    <w:rsid w:val="00E35000"/>
    <w:rsid w:val="00E35A30"/>
    <w:rsid w:val="00E50AE3"/>
    <w:rsid w:val="00E664D1"/>
    <w:rsid w:val="00E66ABC"/>
    <w:rsid w:val="00EB3605"/>
    <w:rsid w:val="00EC23B6"/>
    <w:rsid w:val="00EE64DF"/>
    <w:rsid w:val="00EE7738"/>
    <w:rsid w:val="00F07CE7"/>
    <w:rsid w:val="00F2409F"/>
    <w:rsid w:val="00F35F72"/>
    <w:rsid w:val="00F43DC2"/>
    <w:rsid w:val="00F45FF7"/>
    <w:rsid w:val="00F9456E"/>
    <w:rsid w:val="00FB22BB"/>
    <w:rsid w:val="00FC43D7"/>
    <w:rsid w:val="00FE3F5A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57"/>
  </w:style>
  <w:style w:type="paragraph" w:styleId="Footer">
    <w:name w:val="footer"/>
    <w:basedOn w:val="Normal"/>
    <w:link w:val="FooterChar"/>
    <w:uiPriority w:val="99"/>
    <w:unhideWhenUsed/>
    <w:rsid w:val="0056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57"/>
  </w:style>
  <w:style w:type="paragraph" w:styleId="NoSpacing">
    <w:name w:val="No Spacing"/>
    <w:uiPriority w:val="1"/>
    <w:qFormat/>
    <w:rsid w:val="002A475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1643C"/>
    <w:rPr>
      <w:i/>
      <w:iCs/>
    </w:rPr>
  </w:style>
  <w:style w:type="character" w:customStyle="1" w:styleId="apple-style-span">
    <w:name w:val="apple-style-span"/>
    <w:basedOn w:val="DefaultParagraphFont"/>
    <w:rsid w:val="00525585"/>
  </w:style>
  <w:style w:type="character" w:styleId="Hyperlink">
    <w:name w:val="Hyperlink"/>
    <w:basedOn w:val="DefaultParagraphFont"/>
    <w:uiPriority w:val="99"/>
    <w:unhideWhenUsed/>
    <w:rsid w:val="00525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57"/>
  </w:style>
  <w:style w:type="paragraph" w:styleId="Footer">
    <w:name w:val="footer"/>
    <w:basedOn w:val="Normal"/>
    <w:link w:val="FooterChar"/>
    <w:uiPriority w:val="99"/>
    <w:unhideWhenUsed/>
    <w:rsid w:val="0056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57"/>
  </w:style>
  <w:style w:type="paragraph" w:styleId="NoSpacing">
    <w:name w:val="No Spacing"/>
    <w:uiPriority w:val="1"/>
    <w:qFormat/>
    <w:rsid w:val="002A475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16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jeelab.net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contextualscience.org/Baer_Hopkins_Krietemeyer_Smith_and_Toney_2006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eon\AppData\Local\Temp\scp04756\M\My%20Documents\NorthWalesHous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eon\AppData\Local\Temp\scp04756\M\My%20Documents\NorthWalesHous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-srv-006\homes-006\pss24f\My%20Documents\NorthWalesHousi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-srv-006\homes-006\pss24f\My%20Documents\NorthWalesHousin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eon\AppData\Local\Temp\scp04756\M\My%20Documents\NorthWalesHousin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eon\AppData\Local\Temp\scp04756\M\My%20Documents\NorthWalesHous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95783128414064"/>
          <c:y val="6.0659813356663754E-2"/>
          <c:w val="0.70162270341207433"/>
          <c:h val="0.83882290755322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Preintervention!$F$20</c:f>
              <c:strCache>
                <c:ptCount val="1"/>
                <c:pt idx="0">
                  <c:v>Mental Well-being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errBars>
            <c:errBarType val="both"/>
            <c:errValType val="cust"/>
            <c:noEndCap val="0"/>
            <c:plus>
              <c:numRef>
                <c:f>Preintervention!$G$21:$G$22</c:f>
                <c:numCache>
                  <c:formatCode>General</c:formatCode>
                  <c:ptCount val="2"/>
                  <c:pt idx="0">
                    <c:v>6.67</c:v>
                  </c:pt>
                  <c:pt idx="1">
                    <c:v>5.95</c:v>
                  </c:pt>
                </c:numCache>
              </c:numRef>
            </c:plus>
            <c:minus>
              <c:numRef>
                <c:f>Preintervention!$G$21:$G$22</c:f>
                <c:numCache>
                  <c:formatCode>General</c:formatCode>
                  <c:ptCount val="2"/>
                  <c:pt idx="0">
                    <c:v>6.67</c:v>
                  </c:pt>
                  <c:pt idx="1">
                    <c:v>5.95</c:v>
                  </c:pt>
                </c:numCache>
              </c:numRef>
            </c:minus>
          </c:errBars>
          <c:cat>
            <c:strRef>
              <c:f>Preintervention!$E$21:$E$22</c:f>
              <c:strCache>
                <c:ptCount val="2"/>
                <c:pt idx="0">
                  <c:v>Before Training</c:v>
                </c:pt>
                <c:pt idx="1">
                  <c:v>After Training</c:v>
                </c:pt>
              </c:strCache>
            </c:strRef>
          </c:cat>
          <c:val>
            <c:numRef>
              <c:f>Preintervention!$F$21:$F$22</c:f>
              <c:numCache>
                <c:formatCode>General</c:formatCode>
                <c:ptCount val="2"/>
                <c:pt idx="0">
                  <c:v>43.4</c:v>
                </c:pt>
                <c:pt idx="1">
                  <c:v>51.9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533568"/>
        <c:axId val="155373568"/>
      </c:barChart>
      <c:catAx>
        <c:axId val="12353356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55373568"/>
        <c:crosses val="autoZero"/>
        <c:auto val="1"/>
        <c:lblAlgn val="ctr"/>
        <c:lblOffset val="100"/>
        <c:noMultiLvlLbl val="0"/>
      </c:catAx>
      <c:valAx>
        <c:axId val="155373568"/>
        <c:scaling>
          <c:orientation val="minMax"/>
          <c:max val="7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50"/>
                </a:pPr>
                <a:r>
                  <a:rPr lang="en-GB" sz="950" b="0">
                    <a:latin typeface="Arial" panose="020B0604020202020204" pitchFamily="34" charset="0"/>
                    <a:cs typeface="Arial" panose="020B0604020202020204" pitchFamily="34" charset="0"/>
                  </a:rPr>
                  <a:t>WEMWBS Score</a:t>
                </a:r>
              </a:p>
            </c:rich>
          </c:tx>
          <c:layout>
            <c:manualLayout>
              <c:xMode val="edge"/>
              <c:yMode val="edge"/>
              <c:x val="1.1274677621819034E-3"/>
              <c:y val="0.278500998186037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3533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49998461976163"/>
          <c:y val="4.9356382176365884E-2"/>
          <c:w val="0.70320724785627176"/>
          <c:h val="0.59827652577910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Preintervention!$M$33</c:f>
              <c:strCache>
                <c:ptCount val="1"/>
                <c:pt idx="0">
                  <c:v>Before Training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Preintervention!$N$35:$S$35</c:f>
                <c:numCache>
                  <c:formatCode>General</c:formatCode>
                  <c:ptCount val="6"/>
                  <c:pt idx="0">
                    <c:v>2.7406406388126032</c:v>
                  </c:pt>
                  <c:pt idx="1">
                    <c:v>5.0288059108389662</c:v>
                  </c:pt>
                  <c:pt idx="2">
                    <c:v>5.460972644339301</c:v>
                  </c:pt>
                  <c:pt idx="3">
                    <c:v>5.0651313463280996</c:v>
                  </c:pt>
                  <c:pt idx="4">
                    <c:v>4.37</c:v>
                  </c:pt>
                  <c:pt idx="5">
                    <c:v>3.3299999999999996</c:v>
                  </c:pt>
                </c:numCache>
              </c:numRef>
            </c:plus>
            <c:minus>
              <c:numRef>
                <c:f>Preintervention!$N$35:$S$35</c:f>
                <c:numCache>
                  <c:formatCode>General</c:formatCode>
                  <c:ptCount val="6"/>
                  <c:pt idx="0">
                    <c:v>2.7406406388126032</c:v>
                  </c:pt>
                  <c:pt idx="1">
                    <c:v>5.0288059108389662</c:v>
                  </c:pt>
                  <c:pt idx="2">
                    <c:v>5.460972644339301</c:v>
                  </c:pt>
                  <c:pt idx="3">
                    <c:v>5.0651313463280996</c:v>
                  </c:pt>
                  <c:pt idx="4">
                    <c:v>4.37</c:v>
                  </c:pt>
                  <c:pt idx="5">
                    <c:v>3.3299999999999996</c:v>
                  </c:pt>
                </c:numCache>
              </c:numRef>
            </c:minus>
          </c:errBars>
          <c:cat>
            <c:strRef>
              <c:f>Preintervention!$N$32:$S$32</c:f>
              <c:strCache>
                <c:ptCount val="6"/>
                <c:pt idx="0">
                  <c:v>Observing*</c:v>
                </c:pt>
                <c:pt idx="1">
                  <c:v>Describing</c:v>
                </c:pt>
                <c:pt idx="2">
                  <c:v>Acting with Awareness*</c:v>
                </c:pt>
                <c:pt idx="3">
                  <c:v>Non-judging of Inner Experience*</c:v>
                </c:pt>
                <c:pt idx="4">
                  <c:v>Non-reactivity to inner experience</c:v>
                </c:pt>
                <c:pt idx="5">
                  <c:v>Overall Mindfulness*</c:v>
                </c:pt>
              </c:strCache>
            </c:strRef>
          </c:cat>
          <c:val>
            <c:numRef>
              <c:f>Preintervention!$N$33:$S$33</c:f>
              <c:numCache>
                <c:formatCode>General</c:formatCode>
                <c:ptCount val="6"/>
                <c:pt idx="0">
                  <c:v>22.8</c:v>
                </c:pt>
                <c:pt idx="1">
                  <c:v>27.8</c:v>
                </c:pt>
                <c:pt idx="2">
                  <c:v>22.4</c:v>
                </c:pt>
                <c:pt idx="3">
                  <c:v>25.1</c:v>
                </c:pt>
                <c:pt idx="4">
                  <c:v>20.7</c:v>
                </c:pt>
                <c:pt idx="5">
                  <c:v>23.759999999999998</c:v>
                </c:pt>
              </c:numCache>
            </c:numRef>
          </c:val>
        </c:ser>
        <c:ser>
          <c:idx val="1"/>
          <c:order val="1"/>
          <c:tx>
            <c:strRef>
              <c:f>Preintervention!$M$34</c:f>
              <c:strCache>
                <c:ptCount val="1"/>
                <c:pt idx="0">
                  <c:v>After Training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Preintervention!$N$36:$S$36</c:f>
                <c:numCache>
                  <c:formatCode>General</c:formatCode>
                  <c:ptCount val="6"/>
                  <c:pt idx="0">
                    <c:v>3.1780497164141344</c:v>
                  </c:pt>
                  <c:pt idx="1">
                    <c:v>2.3213980461973542</c:v>
                  </c:pt>
                  <c:pt idx="2">
                    <c:v>5.6015870766933302</c:v>
                  </c:pt>
                  <c:pt idx="3">
                    <c:v>4.1109609582188966</c:v>
                  </c:pt>
                  <c:pt idx="4">
                    <c:v>3.6147844564602614</c:v>
                  </c:pt>
                  <c:pt idx="5">
                    <c:v>2.9340150722932563</c:v>
                  </c:pt>
                </c:numCache>
              </c:numRef>
            </c:plus>
            <c:minus>
              <c:numRef>
                <c:f>Preintervention!$N$36:$S$36</c:f>
                <c:numCache>
                  <c:formatCode>General</c:formatCode>
                  <c:ptCount val="6"/>
                  <c:pt idx="0">
                    <c:v>3.1780497164141344</c:v>
                  </c:pt>
                  <c:pt idx="1">
                    <c:v>2.3213980461973542</c:v>
                  </c:pt>
                  <c:pt idx="2">
                    <c:v>5.6015870766933302</c:v>
                  </c:pt>
                  <c:pt idx="3">
                    <c:v>4.1109609582188966</c:v>
                  </c:pt>
                  <c:pt idx="4">
                    <c:v>3.6147844564602614</c:v>
                  </c:pt>
                  <c:pt idx="5">
                    <c:v>2.9340150722932563</c:v>
                  </c:pt>
                </c:numCache>
              </c:numRef>
            </c:minus>
          </c:errBars>
          <c:cat>
            <c:strRef>
              <c:f>Preintervention!$N$32:$S$32</c:f>
              <c:strCache>
                <c:ptCount val="6"/>
                <c:pt idx="0">
                  <c:v>Observing*</c:v>
                </c:pt>
                <c:pt idx="1">
                  <c:v>Describing</c:v>
                </c:pt>
                <c:pt idx="2">
                  <c:v>Acting with Awareness*</c:v>
                </c:pt>
                <c:pt idx="3">
                  <c:v>Non-judging of Inner Experience*</c:v>
                </c:pt>
                <c:pt idx="4">
                  <c:v>Non-reactivity to inner experience</c:v>
                </c:pt>
                <c:pt idx="5">
                  <c:v>Overall Mindfulness*</c:v>
                </c:pt>
              </c:strCache>
            </c:strRef>
          </c:cat>
          <c:val>
            <c:numRef>
              <c:f>Preintervention!$N$34:$S$34</c:f>
              <c:numCache>
                <c:formatCode>General</c:formatCode>
                <c:ptCount val="6"/>
                <c:pt idx="0">
                  <c:v>30.1</c:v>
                </c:pt>
                <c:pt idx="1">
                  <c:v>30.5</c:v>
                </c:pt>
                <c:pt idx="2">
                  <c:v>28.6</c:v>
                </c:pt>
                <c:pt idx="3">
                  <c:v>28.7</c:v>
                </c:pt>
                <c:pt idx="4">
                  <c:v>23.2</c:v>
                </c:pt>
                <c:pt idx="5">
                  <c:v>28.22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357376"/>
        <c:axId val="156358912"/>
      </c:barChart>
      <c:catAx>
        <c:axId val="1563573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56358912"/>
        <c:crosses val="autoZero"/>
        <c:auto val="1"/>
        <c:lblAlgn val="ctr"/>
        <c:lblOffset val="100"/>
        <c:noMultiLvlLbl val="0"/>
      </c:catAx>
      <c:valAx>
        <c:axId val="156358912"/>
        <c:scaling>
          <c:orientation val="minMax"/>
          <c:max val="4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50"/>
                </a:pPr>
                <a:r>
                  <a:rPr lang="en-GB" sz="950" b="0">
                    <a:latin typeface="Arial" panose="020B0604020202020204" pitchFamily="34" charset="0"/>
                    <a:cs typeface="Arial" panose="020B0604020202020204" pitchFamily="34" charset="0"/>
                  </a:rPr>
                  <a:t>FFMQ Score</a:t>
                </a:r>
              </a:p>
            </c:rich>
          </c:tx>
          <c:layout>
            <c:manualLayout>
              <c:xMode val="edge"/>
              <c:yMode val="edge"/>
              <c:x val="8.7017331705902687E-2"/>
              <c:y val="0.260139528013543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5635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374322147027858"/>
          <c:y val="3.0780221437837513E-2"/>
          <c:w val="0.18942593214809231"/>
          <c:h val="9.6226410612700514E-2"/>
        </c:manualLayout>
      </c:layout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65507436570423"/>
          <c:y val="5.6030183727034118E-2"/>
          <c:w val="0.81670603674540709"/>
          <c:h val="0.71224919801691455"/>
        </c:manualLayout>
      </c:layout>
      <c:scatterChart>
        <c:scatterStyle val="lineMarker"/>
        <c:varyColors val="0"/>
        <c:ser>
          <c:idx val="0"/>
          <c:order val="0"/>
          <c:tx>
            <c:strRef>
              <c:f>Preintervention!$K$50</c:f>
              <c:strCache>
                <c:ptCount val="1"/>
                <c:pt idx="0">
                  <c:v>WEMWBS Score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trendline>
            <c:spPr>
              <a:ln w="0"/>
            </c:spPr>
            <c:trendlineType val="linear"/>
            <c:dispRSqr val="0"/>
            <c:dispEq val="0"/>
          </c:trendline>
          <c:trendline>
            <c:spPr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  <c:trendlineType val="linear"/>
            <c:forward val="4"/>
            <c:backward val="24"/>
            <c:dispRSqr val="0"/>
            <c:dispEq val="0"/>
          </c:trendline>
          <c:xVal>
            <c:numRef>
              <c:f>Preintervention!$J$51:$J$60</c:f>
              <c:numCache>
                <c:formatCode>General</c:formatCode>
                <c:ptCount val="10"/>
                <c:pt idx="0">
                  <c:v>27.8</c:v>
                </c:pt>
                <c:pt idx="1">
                  <c:v>24.8</c:v>
                </c:pt>
                <c:pt idx="2">
                  <c:v>25.2</c:v>
                </c:pt>
                <c:pt idx="3">
                  <c:v>24.2</c:v>
                </c:pt>
                <c:pt idx="4">
                  <c:v>28.8</c:v>
                </c:pt>
                <c:pt idx="5">
                  <c:v>28.4</c:v>
                </c:pt>
                <c:pt idx="6">
                  <c:v>30.4</c:v>
                </c:pt>
                <c:pt idx="7">
                  <c:v>33.800000000000004</c:v>
                </c:pt>
                <c:pt idx="8">
                  <c:v>30.2</c:v>
                </c:pt>
                <c:pt idx="9">
                  <c:v>28.6</c:v>
                </c:pt>
              </c:numCache>
            </c:numRef>
          </c:xVal>
          <c:yVal>
            <c:numRef>
              <c:f>Preintervention!$K$51:$K$60</c:f>
              <c:numCache>
                <c:formatCode>General</c:formatCode>
                <c:ptCount val="10"/>
                <c:pt idx="0">
                  <c:v>48</c:v>
                </c:pt>
                <c:pt idx="1">
                  <c:v>46</c:v>
                </c:pt>
                <c:pt idx="2">
                  <c:v>56</c:v>
                </c:pt>
                <c:pt idx="3">
                  <c:v>42</c:v>
                </c:pt>
                <c:pt idx="4">
                  <c:v>52</c:v>
                </c:pt>
                <c:pt idx="5">
                  <c:v>53</c:v>
                </c:pt>
                <c:pt idx="6">
                  <c:v>54</c:v>
                </c:pt>
                <c:pt idx="7">
                  <c:v>63</c:v>
                </c:pt>
                <c:pt idx="8">
                  <c:v>56</c:v>
                </c:pt>
                <c:pt idx="9">
                  <c:v>49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917184"/>
        <c:axId val="157919104"/>
      </c:scatterChart>
      <c:valAx>
        <c:axId val="157917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0"/>
                </a:pPr>
                <a:r>
                  <a:rPr lang="en-GB" sz="950" b="0"/>
                  <a:t>Overall Mindfulness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157919104"/>
        <c:crosses val="autoZero"/>
        <c:crossBetween val="midCat"/>
      </c:valAx>
      <c:valAx>
        <c:axId val="1579191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950" b="0">
                    <a:latin typeface="Arial" panose="020B0604020202020204" pitchFamily="34" charset="0"/>
                    <a:cs typeface="Arial" panose="020B0604020202020204" pitchFamily="34" charset="0"/>
                  </a:rPr>
                  <a:t>WEMWBS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157917184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2568872080019"/>
          <c:y val="0.13305203509834795"/>
          <c:w val="0.68798334650618975"/>
          <c:h val="0.69606246856926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Preintervention!$V$27</c:f>
              <c:strCache>
                <c:ptCount val="1"/>
                <c:pt idx="0">
                  <c:v>Before Training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Preintervention!$U$28:$U$31</c:f>
              <c:strCache>
                <c:ptCount val="4"/>
                <c:pt idx="0">
                  <c:v>Physical Health</c:v>
                </c:pt>
                <c:pt idx="1">
                  <c:v>Psychological Well-being*</c:v>
                </c:pt>
                <c:pt idx="2">
                  <c:v>Social Relationships</c:v>
                </c:pt>
                <c:pt idx="3">
                  <c:v>Environment</c:v>
                </c:pt>
              </c:strCache>
            </c:strRef>
          </c:cat>
          <c:val>
            <c:numRef>
              <c:f>Preintervention!$V$28:$V$31</c:f>
              <c:numCache>
                <c:formatCode>General</c:formatCode>
                <c:ptCount val="4"/>
                <c:pt idx="0">
                  <c:v>56</c:v>
                </c:pt>
                <c:pt idx="1">
                  <c:v>55</c:v>
                </c:pt>
                <c:pt idx="2">
                  <c:v>51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Preintervention!$W$27</c:f>
              <c:strCache>
                <c:ptCount val="1"/>
                <c:pt idx="0">
                  <c:v>After Training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Preintervention!$U$28:$U$31</c:f>
              <c:strCache>
                <c:ptCount val="4"/>
                <c:pt idx="0">
                  <c:v>Physical Health</c:v>
                </c:pt>
                <c:pt idx="1">
                  <c:v>Psychological Well-being*</c:v>
                </c:pt>
                <c:pt idx="2">
                  <c:v>Social Relationships</c:v>
                </c:pt>
                <c:pt idx="3">
                  <c:v>Environment</c:v>
                </c:pt>
              </c:strCache>
            </c:strRef>
          </c:cat>
          <c:val>
            <c:numRef>
              <c:f>Preintervention!$W$28:$W$31</c:f>
              <c:numCache>
                <c:formatCode>General</c:formatCode>
                <c:ptCount val="4"/>
                <c:pt idx="0">
                  <c:v>62</c:v>
                </c:pt>
                <c:pt idx="1">
                  <c:v>62</c:v>
                </c:pt>
                <c:pt idx="2">
                  <c:v>57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27296"/>
        <c:axId val="157928832"/>
      </c:barChart>
      <c:catAx>
        <c:axId val="157927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5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57928832"/>
        <c:crosses val="autoZero"/>
        <c:auto val="1"/>
        <c:lblAlgn val="ctr"/>
        <c:lblOffset val="100"/>
        <c:noMultiLvlLbl val="0"/>
      </c:catAx>
      <c:valAx>
        <c:axId val="157928832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5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 sz="950" b="0">
                    <a:latin typeface="Arial" panose="020B0604020202020204" pitchFamily="34" charset="0"/>
                    <a:cs typeface="Arial" panose="020B0604020202020204" pitchFamily="34" charset="0"/>
                  </a:rPr>
                  <a:t>Transformed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792729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424929849219921"/>
          <c:y val="0.10897100930565499"/>
          <c:w val="0.21439364367326963"/>
          <c:h val="0.12133851268591427"/>
        </c:manualLayout>
      </c:layout>
      <c:overlay val="0"/>
      <c:txPr>
        <a:bodyPr/>
        <a:lstStyle/>
        <a:p>
          <a:pPr>
            <a:defRPr sz="95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2524059492564"/>
          <c:y val="0.10695610965296004"/>
          <c:w val="0.59397112860892387"/>
          <c:h val="0.80843759113444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Preintervention!$M$24</c:f>
              <c:strCache>
                <c:ptCount val="1"/>
                <c:pt idx="0">
                  <c:v>Before Training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Preintervention!$P$24:$Q$24</c:f>
                <c:numCache>
                  <c:formatCode>General</c:formatCode>
                  <c:ptCount val="2"/>
                  <c:pt idx="0">
                    <c:v>0.53</c:v>
                  </c:pt>
                  <c:pt idx="1">
                    <c:v>1.1000000000000001</c:v>
                  </c:pt>
                </c:numCache>
              </c:numRef>
            </c:plus>
            <c:minus>
              <c:numRef>
                <c:f>Preintervention!$P$24:$R$24</c:f>
                <c:numCache>
                  <c:formatCode>General</c:formatCode>
                  <c:ptCount val="3"/>
                  <c:pt idx="0">
                    <c:v>0.53</c:v>
                  </c:pt>
                  <c:pt idx="1">
                    <c:v>1.1000000000000001</c:v>
                  </c:pt>
                </c:numCache>
              </c:numRef>
            </c:minus>
          </c:errBars>
          <c:cat>
            <c:strRef>
              <c:f>Preintervention!$N$23:$O$23</c:f>
              <c:strCache>
                <c:ptCount val="2"/>
                <c:pt idx="0">
                  <c:v>Quality of Life</c:v>
                </c:pt>
                <c:pt idx="1">
                  <c:v>Quality of Health</c:v>
                </c:pt>
              </c:strCache>
            </c:strRef>
          </c:cat>
          <c:val>
            <c:numRef>
              <c:f>Preintervention!$N$24:$O$24</c:f>
              <c:numCache>
                <c:formatCode>General</c:formatCode>
                <c:ptCount val="2"/>
                <c:pt idx="0">
                  <c:v>3.5</c:v>
                </c:pt>
                <c:pt idx="1">
                  <c:v>3.1</c:v>
                </c:pt>
              </c:numCache>
            </c:numRef>
          </c:val>
        </c:ser>
        <c:ser>
          <c:idx val="1"/>
          <c:order val="1"/>
          <c:tx>
            <c:strRef>
              <c:f>Preintervention!$M$25</c:f>
              <c:strCache>
                <c:ptCount val="1"/>
                <c:pt idx="0">
                  <c:v>After Training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Preintervention!$P$25:$Q$25</c:f>
                <c:numCache>
                  <c:formatCode>General</c:formatCode>
                  <c:ptCount val="2"/>
                  <c:pt idx="0">
                    <c:v>0.42000000000000004</c:v>
                  </c:pt>
                  <c:pt idx="1">
                    <c:v>0.82000000000000006</c:v>
                  </c:pt>
                </c:numCache>
              </c:numRef>
            </c:plus>
            <c:minus>
              <c:numRef>
                <c:f>Preintervention!$P$25:$Q$25</c:f>
                <c:numCache>
                  <c:formatCode>General</c:formatCode>
                  <c:ptCount val="2"/>
                  <c:pt idx="0">
                    <c:v>0.42000000000000004</c:v>
                  </c:pt>
                  <c:pt idx="1">
                    <c:v>0.82000000000000006</c:v>
                  </c:pt>
                </c:numCache>
              </c:numRef>
            </c:minus>
          </c:errBars>
          <c:cat>
            <c:strRef>
              <c:f>Preintervention!$N$23:$O$23</c:f>
              <c:strCache>
                <c:ptCount val="2"/>
                <c:pt idx="0">
                  <c:v>Quality of Life</c:v>
                </c:pt>
                <c:pt idx="1">
                  <c:v>Quality of Health</c:v>
                </c:pt>
              </c:strCache>
            </c:strRef>
          </c:cat>
          <c:val>
            <c:numRef>
              <c:f>Preintervention!$N$25:$O$25</c:f>
              <c:numCache>
                <c:formatCode>General</c:formatCode>
                <c:ptCount val="2"/>
                <c:pt idx="0">
                  <c:v>4.2</c:v>
                </c:pt>
                <c:pt idx="1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01664"/>
        <c:axId val="158403200"/>
      </c:barChart>
      <c:catAx>
        <c:axId val="1584016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58403200"/>
        <c:crosses val="autoZero"/>
        <c:auto val="1"/>
        <c:lblAlgn val="ctr"/>
        <c:lblOffset val="100"/>
        <c:noMultiLvlLbl val="0"/>
      </c:catAx>
      <c:valAx>
        <c:axId val="158403200"/>
        <c:scaling>
          <c:orientation val="minMax"/>
          <c:max val="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950" b="0">
                    <a:latin typeface="Arial" panose="020B0604020202020204" pitchFamily="34" charset="0"/>
                    <a:cs typeface="Arial" panose="020B0604020202020204" pitchFamily="34" charset="0"/>
                  </a:rPr>
                  <a:t>WHOQOL-BREF 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158401664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45722244094488212"/>
          <c:y val="4.2457713619131008E-3"/>
          <c:w val="0.22055533683289624"/>
          <c:h val="0.167434383202100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84296921448355"/>
          <c:y val="6.3807584396777986E-2"/>
          <c:w val="0.75380896448717494"/>
          <c:h val="0.80987057652276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Preintervention!$AC$27</c:f>
              <c:strCache>
                <c:ptCount val="1"/>
                <c:pt idx="0">
                  <c:v>Perceived Stress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errBars>
            <c:errBarType val="both"/>
            <c:errValType val="cust"/>
            <c:noEndCap val="0"/>
            <c:plus>
              <c:numRef>
                <c:f>Preintervention!$AD$28:$AD$29</c:f>
                <c:numCache>
                  <c:formatCode>General</c:formatCode>
                  <c:ptCount val="2"/>
                  <c:pt idx="0">
                    <c:v>5.75</c:v>
                  </c:pt>
                  <c:pt idx="1">
                    <c:v>5.56</c:v>
                  </c:pt>
                </c:numCache>
              </c:numRef>
            </c:plus>
            <c:minus>
              <c:numRef>
                <c:f>Preintervention!$AD$28:$AD$29</c:f>
                <c:numCache>
                  <c:formatCode>General</c:formatCode>
                  <c:ptCount val="2"/>
                  <c:pt idx="0">
                    <c:v>5.75</c:v>
                  </c:pt>
                  <c:pt idx="1">
                    <c:v>5.56</c:v>
                  </c:pt>
                </c:numCache>
              </c:numRef>
            </c:minus>
          </c:errBars>
          <c:cat>
            <c:strRef>
              <c:f>Preintervention!$AB$28:$AB$29</c:f>
              <c:strCache>
                <c:ptCount val="2"/>
                <c:pt idx="0">
                  <c:v>Before Training</c:v>
                </c:pt>
                <c:pt idx="1">
                  <c:v>After Training</c:v>
                </c:pt>
              </c:strCache>
            </c:strRef>
          </c:cat>
          <c:val>
            <c:numRef>
              <c:f>Preintervention!$AC$28:$AC$29</c:f>
              <c:numCache>
                <c:formatCode>General</c:formatCode>
                <c:ptCount val="2"/>
                <c:pt idx="0">
                  <c:v>21.8</c:v>
                </c:pt>
                <c:pt idx="1">
                  <c:v>13.7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37376"/>
        <c:axId val="158438912"/>
      </c:barChart>
      <c:catAx>
        <c:axId val="1584373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58438912"/>
        <c:crosses val="autoZero"/>
        <c:auto val="1"/>
        <c:lblAlgn val="ctr"/>
        <c:lblOffset val="100"/>
        <c:noMultiLvlLbl val="0"/>
      </c:catAx>
      <c:valAx>
        <c:axId val="158438912"/>
        <c:scaling>
          <c:orientation val="minMax"/>
          <c:max val="4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950" b="0">
                    <a:latin typeface="Arial" panose="020B0604020202020204" pitchFamily="34" charset="0"/>
                    <a:cs typeface="Arial" panose="020B0604020202020204" pitchFamily="34" charset="0"/>
                  </a:rPr>
                  <a:t>PSS Score</a:t>
                </a:r>
              </a:p>
            </c:rich>
          </c:tx>
          <c:layout>
            <c:manualLayout>
              <c:xMode val="edge"/>
              <c:yMode val="edge"/>
              <c:x val="3.0303030303030311E-2"/>
              <c:y val="0.317981265272876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1584373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29B2-5D10-4AA6-A798-2D78AFF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Laura</dc:creator>
  <cp:lastModifiedBy>Dusana Dorjee</cp:lastModifiedBy>
  <cp:revision>13</cp:revision>
  <dcterms:created xsi:type="dcterms:W3CDTF">2014-06-07T14:46:00Z</dcterms:created>
  <dcterms:modified xsi:type="dcterms:W3CDTF">2018-01-13T19:23:00Z</dcterms:modified>
</cp:coreProperties>
</file>